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A0C0B" w14:textId="40E93DA7" w:rsidR="00327351" w:rsidRDefault="00327351" w:rsidP="00327351">
      <w:pPr>
        <w:pStyle w:val="CRCoverPage"/>
        <w:tabs>
          <w:tab w:val="right" w:pos="9639"/>
        </w:tabs>
        <w:spacing w:after="0"/>
        <w:rPr>
          <w:rFonts w:eastAsia="新細明體"/>
          <w:b/>
          <w:i/>
          <w:sz w:val="28"/>
          <w:lang w:val="en-US" w:eastAsia="zh-TW"/>
        </w:rPr>
      </w:pPr>
      <w:bookmarkStart w:id="0" w:name="_Toc502932909"/>
      <w:r>
        <w:rPr>
          <w:b/>
          <w:noProof/>
          <w:sz w:val="24"/>
          <w:szCs w:val="24"/>
        </w:rPr>
        <w:t>3GPP TSG-</w:t>
      </w:r>
      <w:r>
        <w:rPr>
          <w:b/>
          <w:sz w:val="24"/>
          <w:szCs w:val="24"/>
        </w:rPr>
        <w:t>RAN WG4</w:t>
      </w:r>
      <w:r>
        <w:rPr>
          <w:b/>
          <w:noProof/>
          <w:sz w:val="24"/>
          <w:szCs w:val="24"/>
        </w:rPr>
        <w:t xml:space="preserve"> Meeting #</w:t>
      </w:r>
      <w:r>
        <w:rPr>
          <w:b/>
          <w:sz w:val="24"/>
          <w:szCs w:val="24"/>
        </w:rPr>
        <w:t>112bis</w:t>
      </w:r>
      <w:r>
        <w:rPr>
          <w:b/>
          <w:i/>
          <w:sz w:val="28"/>
        </w:rPr>
        <w:tab/>
      </w:r>
      <w:r>
        <w:rPr>
          <w:b/>
          <w:sz w:val="24"/>
          <w:szCs w:val="18"/>
          <w:lang w:val="en-US" w:eastAsia="zh-CN"/>
        </w:rPr>
        <w:t>R4-241</w:t>
      </w:r>
      <w:r w:rsidR="00CE26E8">
        <w:rPr>
          <w:rFonts w:eastAsia="新細明體"/>
          <w:b/>
          <w:sz w:val="24"/>
          <w:szCs w:val="18"/>
          <w:lang w:val="en-US" w:eastAsia="zh-TW"/>
        </w:rPr>
        <w:t>5739</w:t>
      </w:r>
    </w:p>
    <w:p w14:paraId="2EECD565" w14:textId="77777777" w:rsidR="00327351" w:rsidRDefault="00327351" w:rsidP="00327351">
      <w:pPr>
        <w:pStyle w:val="CRCoverPage"/>
        <w:outlineLvl w:val="0"/>
        <w:rPr>
          <w:b/>
          <w:noProof/>
          <w:sz w:val="24"/>
        </w:rPr>
      </w:pPr>
      <w:r>
        <w:rPr>
          <w:b/>
          <w:bCs/>
          <w:sz w:val="24"/>
          <w:szCs w:val="24"/>
        </w:rPr>
        <w:t xml:space="preserve">Hefei, Anhui, China, </w:t>
      </w:r>
      <w:r>
        <w:rPr>
          <w:rFonts w:cs="Arial"/>
          <w:b/>
          <w:sz w:val="24"/>
          <w:szCs w:val="24"/>
          <w:lang w:eastAsia="zh-CN"/>
        </w:rPr>
        <w:t>14</w:t>
      </w:r>
      <w:r>
        <w:rPr>
          <w:rFonts w:cs="Arial"/>
          <w:b/>
          <w:sz w:val="24"/>
          <w:szCs w:val="24"/>
          <w:vertAlign w:val="superscript"/>
          <w:lang w:eastAsia="zh-CN"/>
        </w:rPr>
        <w:t>th</w:t>
      </w:r>
      <w:r>
        <w:rPr>
          <w:rFonts w:cs="Arial"/>
          <w:b/>
          <w:sz w:val="24"/>
          <w:szCs w:val="24"/>
          <w:lang w:eastAsia="zh-CN"/>
        </w:rPr>
        <w:t xml:space="preserve"> – 18</w:t>
      </w:r>
      <w:r>
        <w:rPr>
          <w:rFonts w:cs="Arial"/>
          <w:b/>
          <w:sz w:val="24"/>
          <w:szCs w:val="24"/>
          <w:vertAlign w:val="superscript"/>
          <w:lang w:eastAsia="zh-CN"/>
        </w:rPr>
        <w:t>th</w:t>
      </w:r>
      <w:r>
        <w:rPr>
          <w:rFonts w:cs="Arial"/>
          <w:b/>
          <w:sz w:val="24"/>
          <w:szCs w:val="24"/>
          <w:lang w:eastAsia="zh-CN"/>
        </w:rPr>
        <w:t xml:space="preserve"> </w:t>
      </w:r>
      <w:r>
        <w:rPr>
          <w:b/>
          <w:bCs/>
          <w:sz w:val="24"/>
          <w:szCs w:val="24"/>
        </w:rPr>
        <w:t>October, 2024</w:t>
      </w:r>
      <w:r>
        <w:rPr>
          <w:b/>
          <w:noProof/>
          <w:sz w:val="24"/>
        </w:rPr>
        <w:t xml:space="preserve"> </w:t>
      </w:r>
    </w:p>
    <w:p w14:paraId="35A60DA7" w14:textId="1A5A47CF" w:rsidR="00571C34" w:rsidRPr="00CC0A12" w:rsidRDefault="00571C34">
      <w:pPr>
        <w:pStyle w:val="af3"/>
        <w:tabs>
          <w:tab w:val="left" w:pos="2155"/>
        </w:tabs>
        <w:spacing w:after="120"/>
        <w:ind w:left="2610" w:hanging="2610"/>
        <w:jc w:val="both"/>
        <w:rPr>
          <w:sz w:val="24"/>
          <w:szCs w:val="24"/>
          <w:lang w:val="en-US" w:eastAsia="zh-CN"/>
        </w:rPr>
      </w:pPr>
      <w:r w:rsidRPr="00CC0A12">
        <w:rPr>
          <w:sz w:val="24"/>
          <w:szCs w:val="24"/>
          <w:lang w:eastAsia="zh-CN"/>
        </w:rPr>
        <w:t>Agenda Item:</w:t>
      </w:r>
      <w:r w:rsidRPr="00CC0A12">
        <w:rPr>
          <w:rFonts w:hint="eastAsia"/>
          <w:sz w:val="24"/>
          <w:szCs w:val="24"/>
          <w:lang w:eastAsia="zh-CN"/>
        </w:rPr>
        <w:tab/>
      </w:r>
      <w:r w:rsidR="00327351">
        <w:rPr>
          <w:b w:val="0"/>
          <w:sz w:val="24"/>
          <w:szCs w:val="24"/>
          <w:lang w:val="en-US" w:eastAsia="zh-CN"/>
        </w:rPr>
        <w:t>6</w:t>
      </w:r>
      <w:r w:rsidR="002C2EA4">
        <w:rPr>
          <w:b w:val="0"/>
          <w:sz w:val="24"/>
          <w:szCs w:val="24"/>
          <w:lang w:val="en-US" w:eastAsia="zh-CN"/>
        </w:rPr>
        <w:t>.</w:t>
      </w:r>
      <w:r w:rsidR="00844C57">
        <w:rPr>
          <w:b w:val="0"/>
          <w:sz w:val="24"/>
          <w:szCs w:val="24"/>
          <w:lang w:val="en-US" w:eastAsia="zh-CN"/>
        </w:rPr>
        <w:t>8</w:t>
      </w:r>
      <w:r w:rsidR="002C2EA4">
        <w:rPr>
          <w:b w:val="0"/>
          <w:sz w:val="24"/>
          <w:szCs w:val="24"/>
          <w:lang w:val="en-US" w:eastAsia="zh-CN"/>
        </w:rPr>
        <w:t>.</w:t>
      </w:r>
      <w:r w:rsidR="00844C57">
        <w:rPr>
          <w:b w:val="0"/>
          <w:sz w:val="24"/>
          <w:szCs w:val="24"/>
          <w:lang w:val="en-US" w:eastAsia="zh-CN"/>
        </w:rPr>
        <w:t>2.</w:t>
      </w:r>
      <w:r w:rsidR="006F4AA5">
        <w:rPr>
          <w:b w:val="0"/>
          <w:sz w:val="24"/>
          <w:szCs w:val="24"/>
          <w:lang w:val="en-US" w:eastAsia="zh-CN"/>
        </w:rPr>
        <w:t>3</w:t>
      </w:r>
      <w:r w:rsidR="00327351">
        <w:rPr>
          <w:b w:val="0"/>
          <w:sz w:val="24"/>
          <w:szCs w:val="24"/>
          <w:lang w:val="en-US" w:eastAsia="zh-CN"/>
        </w:rPr>
        <w:t>.1</w:t>
      </w:r>
    </w:p>
    <w:p w14:paraId="3E668893" w14:textId="77777777" w:rsidR="00571C34" w:rsidRPr="00CC0A12" w:rsidRDefault="00571C34">
      <w:pPr>
        <w:pStyle w:val="af3"/>
        <w:tabs>
          <w:tab w:val="left" w:pos="2165"/>
        </w:tabs>
        <w:spacing w:after="120"/>
        <w:ind w:left="2127" w:hanging="2127"/>
        <w:jc w:val="both"/>
        <w:rPr>
          <w:sz w:val="24"/>
          <w:szCs w:val="24"/>
          <w:lang w:val="en-US" w:eastAsia="zh-CN"/>
        </w:rPr>
      </w:pPr>
      <w:r w:rsidRPr="00CC0A12">
        <w:rPr>
          <w:sz w:val="24"/>
          <w:szCs w:val="24"/>
          <w:lang w:eastAsia="zh-CN"/>
        </w:rPr>
        <w:t>Source</w:t>
      </w:r>
      <w:r w:rsidRPr="00CC0A12">
        <w:rPr>
          <w:rFonts w:hint="eastAsia"/>
          <w:sz w:val="24"/>
          <w:szCs w:val="24"/>
          <w:lang w:eastAsia="zh-CN"/>
        </w:rPr>
        <w:t>:</w:t>
      </w:r>
      <w:r w:rsidRPr="00CC0A12">
        <w:rPr>
          <w:rFonts w:hint="eastAsia"/>
          <w:sz w:val="24"/>
          <w:szCs w:val="24"/>
          <w:lang w:eastAsia="zh-CN"/>
        </w:rPr>
        <w:tab/>
      </w:r>
      <w:r w:rsidR="00BF0B29">
        <w:rPr>
          <w:b w:val="0"/>
          <w:sz w:val="24"/>
          <w:szCs w:val="24"/>
          <w:lang w:eastAsia="zh-CN"/>
        </w:rPr>
        <w:t>MediaTek Inc.</w:t>
      </w:r>
    </w:p>
    <w:p w14:paraId="7E923F1F" w14:textId="54AC6FF4" w:rsidR="00571C34" w:rsidRDefault="00571C34">
      <w:pPr>
        <w:pStyle w:val="af3"/>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bookmarkStart w:id="1" w:name="OLE_LINK5"/>
      <w:bookmarkStart w:id="2" w:name="OLE_LINK438"/>
      <w:bookmarkStart w:id="3" w:name="OLE_LINK437"/>
      <w:r w:rsidR="00BB4ACA">
        <w:rPr>
          <w:b w:val="0"/>
          <w:bCs/>
          <w:sz w:val="24"/>
          <w:szCs w:val="24"/>
          <w:lang w:val="en-US" w:eastAsia="zh-CN"/>
        </w:rPr>
        <w:t>Discussion</w:t>
      </w:r>
      <w:r>
        <w:rPr>
          <w:rFonts w:hint="eastAsia"/>
          <w:b w:val="0"/>
          <w:bCs/>
          <w:sz w:val="24"/>
          <w:szCs w:val="24"/>
          <w:lang w:val="en-US" w:eastAsia="zh-CN"/>
        </w:rPr>
        <w:t xml:space="preserve"> on </w:t>
      </w:r>
      <w:bookmarkEnd w:id="1"/>
      <w:r w:rsidR="006C071B">
        <w:rPr>
          <w:b w:val="0"/>
          <w:bCs/>
          <w:sz w:val="24"/>
          <w:szCs w:val="24"/>
          <w:lang w:val="en-US" w:eastAsia="zh-CN"/>
        </w:rPr>
        <w:t>IoT</w:t>
      </w:r>
      <w:r w:rsidR="001C08C1">
        <w:rPr>
          <w:b w:val="0"/>
          <w:bCs/>
          <w:sz w:val="24"/>
          <w:szCs w:val="24"/>
          <w:lang w:val="en-US" w:eastAsia="zh-CN"/>
        </w:rPr>
        <w:t>-</w:t>
      </w:r>
      <w:r w:rsidR="00133C8D">
        <w:rPr>
          <w:b w:val="0"/>
          <w:bCs/>
          <w:sz w:val="24"/>
          <w:szCs w:val="24"/>
          <w:lang w:val="en-US" w:eastAsia="zh-CN"/>
        </w:rPr>
        <w:t>NTN HPUE</w:t>
      </w:r>
      <w:r w:rsidR="0094698A">
        <w:rPr>
          <w:b w:val="0"/>
          <w:bCs/>
          <w:sz w:val="24"/>
          <w:szCs w:val="24"/>
          <w:lang w:val="en-US" w:eastAsia="zh-CN"/>
        </w:rPr>
        <w:t xml:space="preserve"> </w:t>
      </w:r>
      <w:r w:rsidR="00133C8D">
        <w:rPr>
          <w:b w:val="0"/>
          <w:bCs/>
          <w:sz w:val="24"/>
          <w:szCs w:val="24"/>
          <w:lang w:val="en-US" w:eastAsia="zh-CN"/>
        </w:rPr>
        <w:t>TX</w:t>
      </w:r>
      <w:r w:rsidR="00034E3D">
        <w:rPr>
          <w:b w:val="0"/>
          <w:bCs/>
          <w:sz w:val="24"/>
          <w:szCs w:val="24"/>
          <w:lang w:val="en-US" w:eastAsia="zh-CN"/>
        </w:rPr>
        <w:t xml:space="preserve"> RF requirements</w:t>
      </w:r>
      <w:bookmarkEnd w:id="2"/>
      <w:r w:rsidR="00E65410">
        <w:rPr>
          <w:b w:val="0"/>
          <w:bCs/>
          <w:sz w:val="24"/>
          <w:szCs w:val="24"/>
          <w:lang w:val="en-US" w:eastAsia="zh-CN"/>
        </w:rPr>
        <w:t xml:space="preserve"> </w:t>
      </w:r>
      <w:bookmarkEnd w:id="3"/>
    </w:p>
    <w:p w14:paraId="4B8C92A7" w14:textId="25E4B8F6" w:rsidR="00571C34" w:rsidRDefault="00571C34">
      <w:pPr>
        <w:pStyle w:val="af3"/>
        <w:tabs>
          <w:tab w:val="left" w:pos="2160"/>
        </w:tabs>
        <w:spacing w:after="120"/>
        <w:ind w:left="2610" w:hanging="2610"/>
        <w:jc w:val="both"/>
        <w:rPr>
          <w:sz w:val="24"/>
          <w:szCs w:val="24"/>
          <w:lang w:val="en-US" w:eastAsia="zh-CN"/>
        </w:rPr>
      </w:pPr>
      <w:r>
        <w:rPr>
          <w:sz w:val="24"/>
          <w:szCs w:val="24"/>
          <w:lang w:eastAsia="zh-CN"/>
        </w:rPr>
        <w:t>Document for:</w:t>
      </w:r>
      <w:r>
        <w:rPr>
          <w:rFonts w:hint="eastAsia"/>
          <w:sz w:val="24"/>
          <w:szCs w:val="24"/>
          <w:lang w:eastAsia="zh-CN"/>
        </w:rPr>
        <w:tab/>
      </w:r>
      <w:r w:rsidR="00817895">
        <w:rPr>
          <w:b w:val="0"/>
          <w:sz w:val="24"/>
          <w:szCs w:val="24"/>
          <w:lang w:eastAsia="zh-CN"/>
        </w:rPr>
        <w:t>Discussion</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1BEC5C9C" w:rsidR="00006516" w:rsidRDefault="005E33E9" w:rsidP="00A12C85">
      <w:pPr>
        <w:jc w:val="both"/>
        <w:rPr>
          <w:szCs w:val="22"/>
          <w:lang w:eastAsia="zh-CN"/>
        </w:rPr>
      </w:pPr>
      <w:bookmarkStart w:id="4" w:name="OLE_LINK91"/>
      <w:bookmarkStart w:id="5" w:name="OLE_LINK90"/>
      <w:bookmarkStart w:id="6" w:name="OLE_LINK6"/>
      <w:r w:rsidRPr="005E33E9">
        <w:rPr>
          <w:szCs w:val="22"/>
          <w:lang w:eastAsia="zh-CN"/>
        </w:rPr>
        <w:t>In RAN#103 plenary meeting, the WID on enhanced requirements and test methodology for NR and IoT</w:t>
      </w:r>
      <w:r w:rsidR="00145ACC">
        <w:rPr>
          <w:szCs w:val="22"/>
          <w:lang w:eastAsia="zh-CN"/>
        </w:rPr>
        <w:t xml:space="preserve"> </w:t>
      </w:r>
      <w:r w:rsidRPr="005E33E9">
        <w:rPr>
          <w:szCs w:val="22"/>
          <w:lang w:eastAsia="zh-CN"/>
        </w:rPr>
        <w:t>NTN was approved in [1]. One of the main objectives is to enable PC2 high power UE (HPUE) with defining RF requirements targeting at support of NR and IoT NTN UEs for FR1 single carrier scenario.</w:t>
      </w:r>
    </w:p>
    <w:p w14:paraId="706F9BC3" w14:textId="1D0663ED" w:rsidR="00A82072" w:rsidRDefault="00E316BF" w:rsidP="00A12C85">
      <w:pPr>
        <w:jc w:val="both"/>
        <w:rPr>
          <w:szCs w:val="22"/>
          <w:lang w:eastAsia="zh-CN"/>
        </w:rPr>
      </w:pPr>
      <w:r w:rsidRPr="00E316BF">
        <w:rPr>
          <w:szCs w:val="22"/>
          <w:lang w:eastAsia="zh-CN"/>
        </w:rPr>
        <w:t xml:space="preserve">In this contribution, </w:t>
      </w:r>
      <w:bookmarkStart w:id="7" w:name="OLE_LINK246"/>
      <w:r w:rsidRPr="00E316BF">
        <w:rPr>
          <w:szCs w:val="22"/>
          <w:lang w:eastAsia="zh-CN"/>
        </w:rPr>
        <w:t xml:space="preserve">our </w:t>
      </w:r>
      <w:r w:rsidR="0016163E">
        <w:rPr>
          <w:szCs w:val="22"/>
          <w:lang w:eastAsia="zh-CN"/>
        </w:rPr>
        <w:t>views</w:t>
      </w:r>
      <w:r w:rsidRPr="00E316BF">
        <w:rPr>
          <w:szCs w:val="22"/>
          <w:lang w:eastAsia="zh-CN"/>
        </w:rPr>
        <w:t xml:space="preserve"> about PC2 HPUE </w:t>
      </w:r>
      <w:r w:rsidR="0016163E">
        <w:rPr>
          <w:szCs w:val="22"/>
          <w:lang w:eastAsia="zh-CN"/>
        </w:rPr>
        <w:t>TX</w:t>
      </w:r>
      <w:r w:rsidRPr="00E316BF">
        <w:rPr>
          <w:szCs w:val="22"/>
          <w:lang w:eastAsia="zh-CN"/>
        </w:rPr>
        <w:t xml:space="preserve"> </w:t>
      </w:r>
      <w:r w:rsidR="0016163E">
        <w:rPr>
          <w:szCs w:val="22"/>
          <w:lang w:eastAsia="zh-CN"/>
        </w:rPr>
        <w:t>RF</w:t>
      </w:r>
      <w:r w:rsidRPr="00E316BF">
        <w:rPr>
          <w:szCs w:val="22"/>
          <w:lang w:eastAsia="zh-CN"/>
        </w:rPr>
        <w:t xml:space="preserve"> requirements for IoT</w:t>
      </w:r>
      <w:r w:rsidR="00742A9A">
        <w:rPr>
          <w:szCs w:val="22"/>
          <w:lang w:eastAsia="zh-CN"/>
        </w:rPr>
        <w:t>-</w:t>
      </w:r>
      <w:r w:rsidRPr="00E316BF">
        <w:rPr>
          <w:szCs w:val="22"/>
          <w:lang w:eastAsia="zh-CN"/>
        </w:rPr>
        <w:t>NTN</w:t>
      </w:r>
      <w:r w:rsidR="00331C12">
        <w:rPr>
          <w:szCs w:val="22"/>
          <w:lang w:eastAsia="zh-CN"/>
        </w:rPr>
        <w:t xml:space="preserve"> UE</w:t>
      </w:r>
      <w:r w:rsidRPr="00E316BF">
        <w:rPr>
          <w:szCs w:val="22"/>
          <w:lang w:eastAsia="zh-CN"/>
        </w:rPr>
        <w:t xml:space="preserve"> </w:t>
      </w:r>
      <w:r w:rsidR="0016163E">
        <w:rPr>
          <w:szCs w:val="22"/>
          <w:lang w:eastAsia="zh-CN"/>
        </w:rPr>
        <w:t>are</w:t>
      </w:r>
      <w:r w:rsidRPr="00E316BF">
        <w:rPr>
          <w:szCs w:val="22"/>
          <w:lang w:eastAsia="zh-CN"/>
        </w:rPr>
        <w:t xml:space="preserve"> provided </w:t>
      </w:r>
      <w:bookmarkEnd w:id="7"/>
      <w:r w:rsidRPr="00E316BF">
        <w:rPr>
          <w:szCs w:val="22"/>
          <w:lang w:eastAsia="zh-CN"/>
        </w:rPr>
        <w:t>for discussion.</w:t>
      </w:r>
    </w:p>
    <w:bookmarkEnd w:id="4"/>
    <w:bookmarkEnd w:id="5"/>
    <w:bookmarkEnd w:id="6"/>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77777777" w:rsidR="0016163E" w:rsidRDefault="0016163E" w:rsidP="0016163E">
      <w:pPr>
        <w:rPr>
          <w:b/>
          <w:lang w:eastAsia="zh-CN"/>
        </w:rPr>
      </w:pPr>
      <w:r>
        <w:rPr>
          <w:b/>
          <w:lang w:eastAsia="zh-CN"/>
        </w:rPr>
        <w:t>2.1</w:t>
      </w:r>
      <w:r>
        <w:rPr>
          <w:b/>
          <w:lang w:eastAsia="zh-CN"/>
        </w:rPr>
        <w:tab/>
      </w:r>
      <w:r>
        <w:rPr>
          <w:b/>
          <w:lang w:eastAsia="zh-CN"/>
        </w:rPr>
        <w:tab/>
        <w:t>High power UE (HPUE) for NTN</w:t>
      </w:r>
      <w:r>
        <w:rPr>
          <w:rFonts w:ascii="新細明體" w:eastAsia="新細明體" w:hAnsi="新細明體" w:hint="eastAsia"/>
          <w:b/>
          <w:lang w:eastAsia="zh-TW"/>
        </w:rPr>
        <w:t xml:space="preserve"> </w:t>
      </w:r>
    </w:p>
    <w:p w14:paraId="1DBE649B" w14:textId="4E1D4EB6" w:rsidR="0016163E" w:rsidRDefault="0016163E" w:rsidP="0016163E">
      <w:pPr>
        <w:rPr>
          <w:rFonts w:eastAsia="新細明體"/>
          <w:lang w:eastAsia="zh-TW"/>
        </w:rPr>
      </w:pPr>
      <w:bookmarkStart w:id="8" w:name="OLE_LINK418"/>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8"/>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C264682"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Conduct the coexistence analysis based on TR 38.863 for the above example bands and corresponding power classes</w:t>
            </w:r>
          </w:p>
          <w:p w14:paraId="536BA58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63BAA7C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Example bands include bands n256 and 256, n255 and 255</w:t>
            </w:r>
          </w:p>
          <w:p w14:paraId="0AC4494E" w14:textId="77777777" w:rsidR="0016163E" w:rsidRPr="00A2586B" w:rsidRDefault="0016163E" w:rsidP="0016163E">
            <w:pPr>
              <w:pStyle w:val="afc"/>
              <w:widowControl w:val="0"/>
              <w:numPr>
                <w:ilvl w:val="2"/>
                <w:numId w:val="40"/>
              </w:numPr>
              <w:ind w:firstLineChars="0"/>
              <w:rPr>
                <w:rFonts w:ascii="Times New Roman" w:hAnsi="Times New Roman" w:cs="Times New Roman"/>
                <w:sz w:val="20"/>
                <w:szCs w:val="20"/>
                <w:highlight w:val="cyan"/>
              </w:rPr>
            </w:pPr>
            <w:r w:rsidRPr="00A2586B">
              <w:rPr>
                <w:rFonts w:ascii="Times New Roman" w:hAnsi="Times New Roman" w:cs="Times New Roman"/>
                <w:sz w:val="20"/>
                <w:szCs w:val="20"/>
                <w:highlight w:val="cyan"/>
              </w:rPr>
              <w:t>PC2, PC1.5 (for NR-NTN only) and PC1 will be evaluated for ACLR and ACS</w:t>
            </w:r>
          </w:p>
          <w:p w14:paraId="273CE30B"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65DEEF31" w14:textId="77777777" w:rsidR="0016163E" w:rsidRDefault="0016163E">
            <w:pPr>
              <w:pStyle w:val="afc"/>
              <w:widowControl w:val="0"/>
              <w:ind w:left="1260" w:firstLineChars="0" w:firstLine="0"/>
              <w:rPr>
                <w:rFonts w:ascii="Times New Roman" w:hAnsi="Times New Roman" w:cs="Times New Roman"/>
                <w:sz w:val="20"/>
                <w:szCs w:val="20"/>
              </w:rPr>
            </w:pPr>
          </w:p>
          <w:p w14:paraId="348B0E9B"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Specify high power UE (HPUE) for NR-NTN (Non-Terrestrial Networks) and IoT-NTN (NB-IoT and </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based NTN) in FR1-NTN bands and the corresponding LTE NTN bands for the single uplink (UL) carrier scenario</w:t>
            </w:r>
          </w:p>
          <w:p w14:paraId="55BC280C"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2E594919"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other power classes based on the co-existence and feasibility study</w:t>
            </w:r>
          </w:p>
          <w:p w14:paraId="32561DC6"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Non-handheld UE is prioritized</w:t>
            </w:r>
          </w:p>
          <w:p w14:paraId="2CC0F8A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Specify RF requirements for all considered power classes for NR-NTN and IoT-NTN in FR1-NTN bands and the corresponding LTE NTN bands</w:t>
            </w:r>
          </w:p>
          <w:p w14:paraId="02107365"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Necessary Tx requirements, at least including</w:t>
            </w:r>
          </w:p>
          <w:p w14:paraId="4C2790CE" w14:textId="77777777" w:rsidR="0016163E"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Investigate and if necessary, specify the solution to address potential SAR (Specific Absorption Rate restriction) requirements for handheld UE</w:t>
            </w:r>
          </w:p>
          <w:p w14:paraId="24EB01A3" w14:textId="77777777" w:rsidR="0016163E" w:rsidRPr="00913ABF" w:rsidRDefault="0016163E" w:rsidP="0016163E">
            <w:pPr>
              <w:pStyle w:val="afc"/>
              <w:widowControl w:val="0"/>
              <w:numPr>
                <w:ilvl w:val="3"/>
                <w:numId w:val="40"/>
              </w:numPr>
              <w:ind w:firstLineChars="0"/>
              <w:rPr>
                <w:rFonts w:ascii="Times New Roman" w:hAnsi="Times New Roman" w:cs="Times New Roman"/>
                <w:sz w:val="20"/>
                <w:szCs w:val="20"/>
                <w:highlight w:val="cyan"/>
              </w:rPr>
            </w:pPr>
            <w:r w:rsidRPr="00913ABF">
              <w:rPr>
                <w:rFonts w:ascii="Times New Roman" w:hAnsi="Times New Roman" w:cs="Times New Roman"/>
                <w:sz w:val="20"/>
                <w:szCs w:val="20"/>
                <w:highlight w:val="cyan"/>
              </w:rPr>
              <w:t>Specify MPR and A-MPR for the example bands considering the regulation for the corresponding bands, if necessary</w:t>
            </w:r>
          </w:p>
          <w:p w14:paraId="66AA89A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Necessary Rx requirements, at least including</w:t>
            </w:r>
          </w:p>
          <w:p w14:paraId="0A4E71BF" w14:textId="77777777" w:rsidR="0016163E"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Specify the RSD requirements on the example bands, if necessary</w:t>
            </w:r>
          </w:p>
          <w:p w14:paraId="3770AC48" w14:textId="180872E1" w:rsidR="003C0C28" w:rsidRDefault="003C0C28" w:rsidP="003C0C28">
            <w:pPr>
              <w:pStyle w:val="afc"/>
              <w:widowControl w:val="0"/>
              <w:ind w:left="1680" w:firstLineChars="0" w:firstLine="0"/>
              <w:rPr>
                <w:rFonts w:ascii="Times New Roman" w:hAnsi="Times New Roman" w:cs="Times New Roman"/>
                <w:sz w:val="20"/>
                <w:szCs w:val="20"/>
              </w:rPr>
            </w:pPr>
          </w:p>
        </w:tc>
      </w:tr>
    </w:tbl>
    <w:p w14:paraId="7E49187F" w14:textId="77777777" w:rsidR="00AA6B3C" w:rsidRDefault="00AA6B3C" w:rsidP="0016163E">
      <w:pPr>
        <w:rPr>
          <w:rFonts w:eastAsia="新細明體"/>
          <w:lang w:eastAsia="zh-TW"/>
        </w:rPr>
      </w:pPr>
    </w:p>
    <w:p w14:paraId="48F32B23" w14:textId="77777777" w:rsidR="00AD2227" w:rsidRDefault="00AD2227" w:rsidP="0016163E">
      <w:pPr>
        <w:rPr>
          <w:rFonts w:eastAsia="新細明體"/>
          <w:lang w:eastAsia="zh-TW"/>
        </w:rPr>
      </w:pPr>
    </w:p>
    <w:p w14:paraId="04CB84CA" w14:textId="7D85FD6A" w:rsidR="003C0C28" w:rsidRDefault="003C0C28" w:rsidP="003C0C28">
      <w:pPr>
        <w:rPr>
          <w:rFonts w:eastAsia="新細明體"/>
          <w:lang w:eastAsia="zh-TW"/>
        </w:rPr>
      </w:pPr>
      <w:r>
        <w:rPr>
          <w:rFonts w:eastAsia="新細明體"/>
          <w:lang w:eastAsia="zh-TW"/>
        </w:rPr>
        <w:t xml:space="preserve">In RAN4#112 meeting, the agreed WF [3] provides the following works </w:t>
      </w:r>
      <w:r w:rsidR="00844249">
        <w:rPr>
          <w:rFonts w:eastAsia="新細明體"/>
          <w:lang w:eastAsia="zh-TW"/>
        </w:rPr>
        <w:t>for specifying</w:t>
      </w:r>
      <w:r>
        <w:rPr>
          <w:rFonts w:eastAsia="新細明體"/>
          <w:lang w:eastAsia="zh-TW"/>
        </w:rPr>
        <w:t xml:space="preserve"> </w:t>
      </w:r>
      <w:r w:rsidR="00580E87">
        <w:rPr>
          <w:rFonts w:eastAsia="新細明體"/>
          <w:lang w:eastAsia="zh-TW"/>
        </w:rPr>
        <w:t xml:space="preserve">TX </w:t>
      </w:r>
      <w:r w:rsidR="00844249">
        <w:rPr>
          <w:rFonts w:eastAsia="新細明體"/>
          <w:lang w:eastAsia="zh-TW"/>
        </w:rPr>
        <w:t xml:space="preserve">requirements (e.g., </w:t>
      </w:r>
      <w:r>
        <w:rPr>
          <w:rFonts w:eastAsia="新細明體"/>
          <w:lang w:eastAsia="zh-TW"/>
        </w:rPr>
        <w:t>ACLR, MPR</w:t>
      </w:r>
      <w:r w:rsidR="00844249">
        <w:rPr>
          <w:rFonts w:eastAsia="新細明體"/>
          <w:lang w:eastAsia="zh-TW"/>
        </w:rPr>
        <w:t>)</w:t>
      </w:r>
      <w:r>
        <w:rPr>
          <w:rFonts w:eastAsia="新細明體"/>
          <w:lang w:eastAsia="zh-TW"/>
        </w:rPr>
        <w:t xml:space="preserve"> for </w:t>
      </w:r>
      <w:r w:rsidR="00C80787">
        <w:rPr>
          <w:rFonts w:eastAsia="新細明體"/>
          <w:lang w:eastAsia="zh-TW"/>
        </w:rPr>
        <w:t>IoT</w:t>
      </w:r>
      <w:r>
        <w:rPr>
          <w:rFonts w:eastAsia="新細明體"/>
          <w:lang w:eastAsia="zh-TW"/>
        </w:rPr>
        <w:t xml:space="preserve">-NTN </w:t>
      </w:r>
      <w:r w:rsidR="00FF30D9">
        <w:rPr>
          <w:rFonts w:eastAsia="新細明體"/>
          <w:lang w:eastAsia="zh-TW"/>
        </w:rPr>
        <w:t xml:space="preserve">under </w:t>
      </w:r>
      <w:r>
        <w:rPr>
          <w:rFonts w:eastAsia="新細明體"/>
          <w:lang w:eastAsia="zh-TW"/>
        </w:rPr>
        <w:t>HPUE</w:t>
      </w:r>
      <w:r w:rsidR="00580E87">
        <w:rPr>
          <w:rFonts w:eastAsia="新細明體"/>
          <w:lang w:eastAsia="zh-TW"/>
        </w:rPr>
        <w:t xml:space="preserve"> operation</w:t>
      </w:r>
      <w:r>
        <w:rPr>
          <w:rFonts w:eastAsia="新細明體"/>
          <w:lang w:eastAsia="zh-TW"/>
        </w:rPr>
        <w:t xml:space="preserve">. The contents are shown as follows. </w:t>
      </w:r>
    </w:p>
    <w:p w14:paraId="037D6DED" w14:textId="77777777" w:rsidR="00AD2227" w:rsidRDefault="00AD2227" w:rsidP="0016163E">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227" w14:paraId="286AD920" w14:textId="77777777">
        <w:tc>
          <w:tcPr>
            <w:tcW w:w="9695" w:type="dxa"/>
            <w:shd w:val="clear" w:color="auto" w:fill="auto"/>
          </w:tcPr>
          <w:p w14:paraId="4F3ED938" w14:textId="035D8500" w:rsidR="00AD2227" w:rsidRDefault="00AD2227" w:rsidP="0016163E">
            <w:pPr>
              <w:rPr>
                <w:rFonts w:eastAsia="新細明體"/>
                <w:b/>
                <w:bCs/>
                <w:sz w:val="26"/>
                <w:szCs w:val="26"/>
                <w:lang w:eastAsia="zh-TW"/>
              </w:rPr>
            </w:pPr>
            <w:r>
              <w:rPr>
                <w:rFonts w:eastAsia="新細明體"/>
                <w:b/>
                <w:bCs/>
                <w:sz w:val="26"/>
                <w:szCs w:val="26"/>
                <w:lang w:eastAsia="zh-TW"/>
              </w:rPr>
              <w:lastRenderedPageBreak/>
              <w:t>NTN HPUE UE RF – Tx requirements</w:t>
            </w:r>
          </w:p>
          <w:p w14:paraId="6ED7081B" w14:textId="77777777" w:rsidR="00AD2227" w:rsidRDefault="00AD2227" w:rsidP="00AD2227">
            <w:pPr>
              <w:rPr>
                <w:b/>
                <w:u w:val="single"/>
                <w:lang w:eastAsia="ko-KR"/>
              </w:rPr>
            </w:pPr>
            <w:r>
              <w:rPr>
                <w:b/>
                <w:u w:val="single"/>
                <w:lang w:eastAsia="ko-KR"/>
              </w:rPr>
              <w:t>Issue 3-1-3: Consideration of power classes</w:t>
            </w:r>
          </w:p>
          <w:p w14:paraId="4A5EDD62" w14:textId="77777777" w:rsidR="00AD2227" w:rsidRDefault="00AD2227">
            <w:pPr>
              <w:pStyle w:val="afc"/>
              <w:numPr>
                <w:ilvl w:val="0"/>
                <w:numId w:val="45"/>
              </w:numPr>
              <w:autoSpaceDN w:val="0"/>
              <w:spacing w:after="120"/>
              <w:ind w:left="720" w:firstLineChars="0"/>
              <w:rPr>
                <w:rFonts w:ascii="Times New Roman" w:hAnsi="Times New Roman" w:cs="Times New Roman"/>
                <w:b/>
                <w:sz w:val="20"/>
                <w:szCs w:val="20"/>
              </w:rPr>
            </w:pPr>
            <w:r>
              <w:rPr>
                <w:rFonts w:ascii="Times New Roman" w:hAnsi="Times New Roman" w:cs="Times New Roman"/>
                <w:b/>
                <w:sz w:val="20"/>
                <w:szCs w:val="20"/>
              </w:rPr>
              <w:t>Agreement</w:t>
            </w:r>
          </w:p>
          <w:p w14:paraId="345FCFE5" w14:textId="77777777" w:rsidR="00AD2227" w:rsidRDefault="00AD2227">
            <w:pPr>
              <w:pStyle w:val="afc"/>
              <w:numPr>
                <w:ilvl w:val="1"/>
                <w:numId w:val="45"/>
              </w:numPr>
              <w:autoSpaceDN w:val="0"/>
              <w:spacing w:after="120"/>
              <w:ind w:left="1440" w:firstLineChars="0"/>
              <w:rPr>
                <w:rFonts w:ascii="Times New Roman" w:hAnsi="Times New Roman" w:cs="Times New Roman"/>
                <w:sz w:val="20"/>
                <w:szCs w:val="20"/>
              </w:rPr>
            </w:pPr>
            <w:r w:rsidRPr="00FD1699">
              <w:rPr>
                <w:rFonts w:ascii="Times New Roman" w:hAnsi="Times New Roman" w:cs="Times New Roman"/>
                <w:sz w:val="20"/>
                <w:szCs w:val="20"/>
              </w:rPr>
              <w:t xml:space="preserve">All power classes in WID, </w:t>
            </w:r>
            <w:r w:rsidRPr="00FD1699">
              <w:rPr>
                <w:rFonts w:ascii="Times New Roman" w:hAnsi="Times New Roman" w:cs="Times New Roman"/>
                <w:sz w:val="20"/>
                <w:szCs w:val="20"/>
                <w:highlight w:val="cyan"/>
              </w:rPr>
              <w:t>including Power class 1/1.5/2 for NR-NTN</w:t>
            </w:r>
            <w:r w:rsidRPr="00FD1699">
              <w:rPr>
                <w:rFonts w:ascii="Times New Roman" w:hAnsi="Times New Roman" w:cs="Times New Roman"/>
                <w:sz w:val="20"/>
                <w:szCs w:val="20"/>
              </w:rPr>
              <w:t xml:space="preserve"> a</w:t>
            </w:r>
            <w:r>
              <w:rPr>
                <w:rFonts w:ascii="Times New Roman" w:hAnsi="Times New Roman" w:cs="Times New Roman"/>
                <w:sz w:val="20"/>
                <w:szCs w:val="20"/>
              </w:rPr>
              <w:t>nd Power class 1/2 for IoT-NTN, will be further discussed</w:t>
            </w:r>
          </w:p>
          <w:p w14:paraId="7E6FB447" w14:textId="77777777" w:rsidR="00A74844" w:rsidRDefault="00A74844" w:rsidP="0016163E">
            <w:pPr>
              <w:rPr>
                <w:rFonts w:eastAsia="新細明體"/>
                <w:lang w:val="en-US" w:eastAsia="zh-TW"/>
              </w:rPr>
            </w:pPr>
          </w:p>
          <w:p w14:paraId="1D783610" w14:textId="77777777" w:rsidR="008F04A3" w:rsidRPr="008F04A3" w:rsidRDefault="008F04A3" w:rsidP="008F04A3">
            <w:pPr>
              <w:rPr>
                <w:b/>
                <w:u w:val="single"/>
                <w:lang w:eastAsia="ko-KR"/>
              </w:rPr>
            </w:pPr>
            <w:r w:rsidRPr="008F04A3">
              <w:rPr>
                <w:b/>
                <w:u w:val="single"/>
                <w:lang w:eastAsia="ko-KR"/>
              </w:rPr>
              <w:t xml:space="preserve">Issue 3-3-1: </w:t>
            </w:r>
            <w:r w:rsidRPr="008F04A3">
              <w:rPr>
                <w:b/>
                <w:u w:val="single"/>
                <w:lang w:eastAsia="zh-CN"/>
              </w:rPr>
              <w:t>Maximum output power</w:t>
            </w:r>
          </w:p>
          <w:p w14:paraId="27BEBE69" w14:textId="77777777" w:rsidR="008F04A3" w:rsidRPr="008F04A3" w:rsidRDefault="008F04A3" w:rsidP="008F04A3">
            <w:pPr>
              <w:pStyle w:val="afc"/>
              <w:numPr>
                <w:ilvl w:val="0"/>
                <w:numId w:val="47"/>
              </w:numPr>
              <w:autoSpaceDN w:val="0"/>
              <w:spacing w:after="120"/>
              <w:ind w:left="720" w:firstLineChars="0"/>
              <w:rPr>
                <w:rFonts w:ascii="Times New Roman" w:hAnsi="Times New Roman" w:cs="Times New Roman"/>
                <w:b/>
                <w:sz w:val="20"/>
                <w:szCs w:val="20"/>
              </w:rPr>
            </w:pPr>
            <w:r w:rsidRPr="008F04A3">
              <w:rPr>
                <w:rFonts w:ascii="Times New Roman" w:hAnsi="Times New Roman" w:cs="Times New Roman"/>
                <w:b/>
                <w:sz w:val="20"/>
                <w:szCs w:val="20"/>
              </w:rPr>
              <w:t>Agreement</w:t>
            </w:r>
          </w:p>
          <w:p w14:paraId="5B9B7744" w14:textId="77777777" w:rsidR="008F04A3" w:rsidRPr="008F04A3" w:rsidRDefault="008F04A3" w:rsidP="008F04A3">
            <w:pPr>
              <w:pStyle w:val="afc"/>
              <w:numPr>
                <w:ilvl w:val="1"/>
                <w:numId w:val="47"/>
              </w:numPr>
              <w:autoSpaceDN w:val="0"/>
              <w:spacing w:after="120"/>
              <w:ind w:left="1440" w:firstLineChars="0"/>
              <w:rPr>
                <w:rFonts w:ascii="Times New Roman" w:hAnsi="Times New Roman" w:cs="Times New Roman"/>
                <w:sz w:val="20"/>
                <w:szCs w:val="20"/>
              </w:rPr>
            </w:pPr>
            <w:r w:rsidRPr="008F04A3">
              <w:rPr>
                <w:rFonts w:ascii="Times New Roman" w:hAnsi="Times New Roman" w:cs="Times New Roman"/>
                <w:sz w:val="20"/>
                <w:szCs w:val="20"/>
              </w:rPr>
              <w:t>Re-use NR TN TS 38.101-1 nominal MOP and +2/-3 tolerance can be considered as starting point for PC2/1.5/1 for NTN HPUE including NR-NTN and IoT-NTN.</w:t>
            </w:r>
          </w:p>
          <w:p w14:paraId="268E7E2F" w14:textId="77777777" w:rsidR="008F04A3" w:rsidRPr="008F04A3" w:rsidRDefault="008F04A3" w:rsidP="0016163E">
            <w:pPr>
              <w:rPr>
                <w:rFonts w:eastAsia="新細明體"/>
                <w:lang w:val="en-US" w:eastAsia="zh-TW"/>
              </w:rPr>
            </w:pPr>
          </w:p>
          <w:p w14:paraId="07384056" w14:textId="77777777" w:rsidR="00AD2227" w:rsidRDefault="00AD2227" w:rsidP="00AD2227">
            <w:pPr>
              <w:rPr>
                <w:b/>
                <w:u w:val="single"/>
                <w:lang w:eastAsia="ko-KR"/>
              </w:rPr>
            </w:pPr>
            <w:r>
              <w:rPr>
                <w:b/>
                <w:u w:val="single"/>
                <w:lang w:eastAsia="ko-KR"/>
              </w:rPr>
              <w:t xml:space="preserve">Issue 3-3-6: </w:t>
            </w:r>
            <w:r>
              <w:rPr>
                <w:b/>
                <w:u w:val="single"/>
                <w:lang w:eastAsia="zh-CN"/>
              </w:rPr>
              <w:t>ACLR</w:t>
            </w:r>
          </w:p>
          <w:p w14:paraId="1408D91E" w14:textId="77777777" w:rsidR="00AD2227" w:rsidRDefault="00AD2227">
            <w:pPr>
              <w:pStyle w:val="afc"/>
              <w:numPr>
                <w:ilvl w:val="0"/>
                <w:numId w:val="45"/>
              </w:numPr>
              <w:autoSpaceDN w:val="0"/>
              <w:spacing w:after="120"/>
              <w:ind w:left="720" w:firstLineChars="0"/>
              <w:rPr>
                <w:rFonts w:ascii="Times New Roman" w:hAnsi="Times New Roman" w:cs="Times New Roman"/>
                <w:b/>
                <w:sz w:val="20"/>
                <w:szCs w:val="20"/>
              </w:rPr>
            </w:pPr>
            <w:r>
              <w:rPr>
                <w:rFonts w:ascii="Times New Roman" w:hAnsi="Times New Roman" w:cs="Times New Roman"/>
                <w:b/>
                <w:sz w:val="20"/>
                <w:szCs w:val="20"/>
              </w:rPr>
              <w:t>Agreement:</w:t>
            </w:r>
          </w:p>
          <w:p w14:paraId="327E1E61" w14:textId="77777777" w:rsidR="00AD2227" w:rsidRDefault="00AD2227">
            <w:pPr>
              <w:pStyle w:val="afc"/>
              <w:numPr>
                <w:ilvl w:val="1"/>
                <w:numId w:val="45"/>
              </w:numPr>
              <w:autoSpaceDN w:val="0"/>
              <w:spacing w:after="120"/>
              <w:ind w:left="1440" w:firstLineChars="0"/>
              <w:rPr>
                <w:rFonts w:ascii="Times New Roman" w:hAnsi="Times New Roman" w:cs="Times New Roman"/>
                <w:sz w:val="20"/>
                <w:szCs w:val="20"/>
              </w:rPr>
            </w:pPr>
            <w:r>
              <w:rPr>
                <w:rFonts w:ascii="Times New Roman" w:hAnsi="Times New Roman" w:cs="Times New Roman"/>
                <w:sz w:val="20"/>
                <w:szCs w:val="20"/>
              </w:rPr>
              <w:t>The ACLR requirements will depend on co-existence study outcomes.</w:t>
            </w:r>
          </w:p>
          <w:p w14:paraId="43B51780" w14:textId="77777777" w:rsidR="00AD2227" w:rsidRDefault="00AD2227" w:rsidP="0016163E">
            <w:pPr>
              <w:rPr>
                <w:rFonts w:eastAsia="新細明體"/>
                <w:lang w:val="en-US" w:eastAsia="zh-TW"/>
              </w:rPr>
            </w:pPr>
          </w:p>
          <w:p w14:paraId="1C428DB5" w14:textId="77777777" w:rsidR="00A74844" w:rsidRDefault="00A74844" w:rsidP="00A74844">
            <w:pPr>
              <w:rPr>
                <w:b/>
                <w:u w:val="single"/>
                <w:lang w:eastAsia="ko-KR"/>
              </w:rPr>
            </w:pPr>
            <w:r>
              <w:rPr>
                <w:b/>
                <w:u w:val="single"/>
                <w:lang w:eastAsia="ko-KR"/>
              </w:rPr>
              <w:t xml:space="preserve">Issue 3-3-2: </w:t>
            </w:r>
            <w:r>
              <w:rPr>
                <w:b/>
                <w:u w:val="single"/>
                <w:lang w:eastAsia="zh-CN"/>
              </w:rPr>
              <w:t>MPR</w:t>
            </w:r>
          </w:p>
          <w:p w14:paraId="404315F8" w14:textId="77777777" w:rsidR="00A74844" w:rsidRDefault="00A74844">
            <w:pPr>
              <w:pStyle w:val="afc"/>
              <w:numPr>
                <w:ilvl w:val="0"/>
                <w:numId w:val="45"/>
              </w:numPr>
              <w:autoSpaceDN w:val="0"/>
              <w:spacing w:after="120"/>
              <w:ind w:left="720" w:firstLineChars="0"/>
              <w:rPr>
                <w:rFonts w:ascii="Times New Roman" w:hAnsi="Times New Roman" w:cs="Times New Roman"/>
                <w:b/>
                <w:sz w:val="20"/>
                <w:szCs w:val="20"/>
              </w:rPr>
            </w:pPr>
            <w:r>
              <w:rPr>
                <w:rFonts w:ascii="Times New Roman" w:hAnsi="Times New Roman" w:cs="Times New Roman"/>
                <w:b/>
                <w:sz w:val="20"/>
                <w:szCs w:val="20"/>
              </w:rPr>
              <w:t>Agreement:</w:t>
            </w:r>
          </w:p>
          <w:p w14:paraId="68AEB44A" w14:textId="77777777" w:rsidR="00A74844" w:rsidRDefault="00A74844">
            <w:pPr>
              <w:pStyle w:val="afc"/>
              <w:numPr>
                <w:ilvl w:val="1"/>
                <w:numId w:val="45"/>
              </w:numPr>
              <w:autoSpaceDN w:val="0"/>
              <w:spacing w:after="120"/>
              <w:ind w:left="1440" w:firstLineChars="0"/>
              <w:rPr>
                <w:rFonts w:ascii="Times New Roman" w:hAnsi="Times New Roman" w:cs="Times New Roman"/>
                <w:sz w:val="20"/>
                <w:szCs w:val="20"/>
              </w:rPr>
            </w:pPr>
            <w:r>
              <w:rPr>
                <w:rFonts w:ascii="Times New Roman" w:hAnsi="Times New Roman" w:cs="Times New Roman"/>
                <w:sz w:val="20"/>
                <w:szCs w:val="20"/>
              </w:rPr>
              <w:t>FFS the MPR requirements. Following potential factors to be further discussed:</w:t>
            </w:r>
          </w:p>
          <w:p w14:paraId="11477BFD" w14:textId="77777777" w:rsidR="00A74844" w:rsidRDefault="00A74844">
            <w:pPr>
              <w:pStyle w:val="afc"/>
              <w:numPr>
                <w:ilvl w:val="2"/>
                <w:numId w:val="45"/>
              </w:numPr>
              <w:autoSpaceDN w:val="0"/>
              <w:spacing w:after="120"/>
              <w:ind w:firstLineChars="0"/>
              <w:rPr>
                <w:rFonts w:ascii="Times New Roman" w:hAnsi="Times New Roman" w:cs="Times New Roman"/>
                <w:sz w:val="20"/>
                <w:szCs w:val="20"/>
                <w:highlight w:val="cyan"/>
              </w:rPr>
            </w:pPr>
            <w:r>
              <w:rPr>
                <w:rFonts w:ascii="Times New Roman" w:hAnsi="Times New Roman" w:cs="Times New Roman"/>
                <w:sz w:val="20"/>
                <w:szCs w:val="20"/>
                <w:highlight w:val="cyan"/>
              </w:rPr>
              <w:t>ACLR from co-existence study</w:t>
            </w:r>
          </w:p>
          <w:p w14:paraId="7E6C4B1C" w14:textId="77777777" w:rsidR="00A74844" w:rsidRDefault="00A74844">
            <w:pPr>
              <w:pStyle w:val="afc"/>
              <w:numPr>
                <w:ilvl w:val="2"/>
                <w:numId w:val="45"/>
              </w:numPr>
              <w:autoSpaceDN w:val="0"/>
              <w:spacing w:after="120"/>
              <w:ind w:firstLineChars="0"/>
              <w:rPr>
                <w:rFonts w:ascii="Times New Roman" w:hAnsi="Times New Roman" w:cs="Times New Roman"/>
                <w:sz w:val="20"/>
                <w:szCs w:val="20"/>
              </w:rPr>
            </w:pPr>
            <w:r>
              <w:rPr>
                <w:rFonts w:ascii="Times New Roman" w:hAnsi="Times New Roman" w:cs="Times New Roman"/>
                <w:sz w:val="20"/>
                <w:szCs w:val="20"/>
              </w:rPr>
              <w:t>Current TN MPR requirements</w:t>
            </w:r>
          </w:p>
          <w:p w14:paraId="1B8A65D6" w14:textId="77777777" w:rsidR="00A74844" w:rsidRDefault="00A74844">
            <w:pPr>
              <w:pStyle w:val="afc"/>
              <w:numPr>
                <w:ilvl w:val="2"/>
                <w:numId w:val="45"/>
              </w:numPr>
              <w:autoSpaceDN w:val="0"/>
              <w:spacing w:after="120"/>
              <w:ind w:firstLineChars="0"/>
              <w:rPr>
                <w:rFonts w:ascii="Times New Roman" w:hAnsi="Times New Roman" w:cs="Times New Roman"/>
                <w:sz w:val="20"/>
                <w:szCs w:val="20"/>
              </w:rPr>
            </w:pPr>
            <w:r>
              <w:rPr>
                <w:rFonts w:ascii="Times New Roman" w:hAnsi="Times New Roman" w:cs="Times New Roman"/>
                <w:sz w:val="20"/>
                <w:szCs w:val="20"/>
              </w:rPr>
              <w:t xml:space="preserve">MPR simulation assumptions </w:t>
            </w:r>
          </w:p>
          <w:p w14:paraId="2771958A" w14:textId="77777777" w:rsidR="00A74844" w:rsidRDefault="00A74844">
            <w:pPr>
              <w:pStyle w:val="afc"/>
              <w:numPr>
                <w:ilvl w:val="2"/>
                <w:numId w:val="45"/>
              </w:numPr>
              <w:autoSpaceDN w:val="0"/>
              <w:spacing w:after="120"/>
              <w:ind w:firstLineChars="0"/>
              <w:rPr>
                <w:rFonts w:ascii="Times New Roman" w:hAnsi="Times New Roman" w:cs="Times New Roman"/>
                <w:sz w:val="20"/>
                <w:szCs w:val="20"/>
              </w:rPr>
            </w:pPr>
            <w:r>
              <w:rPr>
                <w:rFonts w:ascii="Times New Roman" w:hAnsi="Times New Roman" w:cs="Times New Roman"/>
                <w:sz w:val="20"/>
                <w:szCs w:val="20"/>
              </w:rPr>
              <w:t>Other factors not precluded if identified.</w:t>
            </w:r>
          </w:p>
          <w:p w14:paraId="6587DE5F" w14:textId="2223BC10" w:rsidR="00A82072" w:rsidRPr="008F04A3" w:rsidRDefault="00A82072" w:rsidP="008F04A3">
            <w:pPr>
              <w:autoSpaceDN w:val="0"/>
              <w:spacing w:after="120"/>
            </w:pPr>
          </w:p>
        </w:tc>
      </w:tr>
    </w:tbl>
    <w:p w14:paraId="2645FA27" w14:textId="77777777" w:rsidR="00AD2227" w:rsidRDefault="00AD2227" w:rsidP="0016163E">
      <w:pPr>
        <w:rPr>
          <w:rFonts w:eastAsia="新細明體"/>
          <w:lang w:eastAsia="zh-TW"/>
        </w:rPr>
      </w:pPr>
    </w:p>
    <w:p w14:paraId="171E1E41" w14:textId="77777777" w:rsidR="00A82072" w:rsidRDefault="00A82072" w:rsidP="0016163E">
      <w:pPr>
        <w:rPr>
          <w:rFonts w:eastAsia="新細明體"/>
          <w:lang w:eastAsia="zh-TW"/>
        </w:rPr>
      </w:pPr>
    </w:p>
    <w:p w14:paraId="553DBE3D" w14:textId="51BBB36B" w:rsidR="00132BF4" w:rsidRDefault="00464BB0" w:rsidP="00AA6B3C">
      <w:pPr>
        <w:rPr>
          <w:rFonts w:eastAsia="新細明體"/>
          <w:lang w:eastAsia="zh-TW"/>
        </w:rPr>
      </w:pPr>
      <w:bookmarkStart w:id="9" w:name="OLE_LINK215"/>
      <w:bookmarkStart w:id="10" w:name="OLE_LINK92"/>
      <w:r>
        <w:rPr>
          <w:rFonts w:eastAsia="新細明體"/>
          <w:lang w:eastAsia="zh-TW"/>
        </w:rPr>
        <w:t>A</w:t>
      </w:r>
      <w:r w:rsidRPr="003D156B">
        <w:rPr>
          <w:rFonts w:eastAsia="新細明體"/>
          <w:lang w:eastAsia="zh-TW"/>
        </w:rPr>
        <w:t xml:space="preserve">ccording to </w:t>
      </w:r>
      <w:r w:rsidR="00AA6B3C">
        <w:rPr>
          <w:rFonts w:eastAsia="新細明體"/>
          <w:lang w:eastAsia="zh-TW"/>
        </w:rPr>
        <w:t xml:space="preserve">specification </w:t>
      </w:r>
      <w:r>
        <w:rPr>
          <w:rFonts w:eastAsia="新細明體"/>
          <w:lang w:eastAsia="zh-TW"/>
        </w:rPr>
        <w:t>of HPUE UE ACLR f</w:t>
      </w:r>
      <w:r w:rsidR="00AA6B3C">
        <w:rPr>
          <w:rFonts w:eastAsia="新細明體"/>
          <w:lang w:eastAsia="zh-TW"/>
        </w:rPr>
        <w:t xml:space="preserve">or </w:t>
      </w:r>
      <w:r>
        <w:rPr>
          <w:rFonts w:eastAsia="新細明體"/>
          <w:lang w:eastAsia="zh-TW"/>
        </w:rPr>
        <w:t xml:space="preserve">FR1 </w:t>
      </w:r>
      <w:r w:rsidR="001E7BD0">
        <w:rPr>
          <w:rFonts w:eastAsia="新細明體"/>
          <w:lang w:eastAsia="zh-TW"/>
        </w:rPr>
        <w:t>LTE</w:t>
      </w:r>
      <w:r w:rsidR="00F00D40">
        <w:rPr>
          <w:rFonts w:eastAsia="新細明體"/>
          <w:lang w:eastAsia="zh-TW"/>
        </w:rPr>
        <w:t xml:space="preserve"> </w:t>
      </w:r>
      <w:r>
        <w:rPr>
          <w:rFonts w:eastAsia="新細明體"/>
          <w:lang w:eastAsia="zh-TW"/>
        </w:rPr>
        <w:t>bands</w:t>
      </w:r>
      <w:r w:rsidRPr="003D156B">
        <w:rPr>
          <w:rFonts w:eastAsia="新細明體"/>
          <w:lang w:eastAsia="zh-TW"/>
        </w:rPr>
        <w:t xml:space="preserve">, the </w:t>
      </w:r>
      <w:r>
        <w:t xml:space="preserve">ACLR </w:t>
      </w:r>
      <w:r w:rsidRPr="003D156B">
        <w:rPr>
          <w:rFonts w:eastAsia="新細明體"/>
          <w:lang w:eastAsia="zh-TW"/>
        </w:rPr>
        <w:t>values</w:t>
      </w:r>
      <w:r>
        <w:rPr>
          <w:rFonts w:eastAsia="新細明體"/>
          <w:lang w:eastAsia="zh-TW"/>
        </w:rPr>
        <w:t xml:space="preserve"> in TS 3</w:t>
      </w:r>
      <w:r w:rsidR="001E7BD0">
        <w:rPr>
          <w:rFonts w:eastAsia="新細明體"/>
          <w:lang w:eastAsia="zh-TW"/>
        </w:rPr>
        <w:t>6</w:t>
      </w:r>
      <w:r>
        <w:rPr>
          <w:rFonts w:eastAsia="新細明體"/>
          <w:lang w:eastAsia="zh-TW"/>
        </w:rPr>
        <w:t>.101 [</w:t>
      </w:r>
      <w:r w:rsidR="00342CCA">
        <w:rPr>
          <w:rFonts w:eastAsia="新細明體"/>
          <w:lang w:eastAsia="zh-TW"/>
        </w:rPr>
        <w:t>2</w:t>
      </w:r>
      <w:r>
        <w:rPr>
          <w:rFonts w:eastAsia="新細明體"/>
          <w:lang w:eastAsia="zh-TW"/>
        </w:rPr>
        <w:t xml:space="preserve">] </w:t>
      </w:r>
      <w:r w:rsidRPr="003D156B">
        <w:rPr>
          <w:rFonts w:eastAsia="新細明體"/>
          <w:lang w:eastAsia="zh-TW"/>
        </w:rPr>
        <w:t>are provided in Table</w:t>
      </w:r>
      <w:r w:rsidR="004A33AB">
        <w:rPr>
          <w:rFonts w:eastAsia="新細明體"/>
          <w:lang w:eastAsia="zh-TW"/>
        </w:rPr>
        <w:t>s</w:t>
      </w:r>
      <w:r>
        <w:rPr>
          <w:rFonts w:eastAsia="新細明體"/>
          <w:lang w:eastAsia="zh-TW"/>
        </w:rPr>
        <w:t xml:space="preserve"> below for reference.</w:t>
      </w:r>
      <w:bookmarkEnd w:id="9"/>
    </w:p>
    <w:bookmarkEnd w:id="10"/>
    <w:tbl>
      <w:tblPr>
        <w:tblStyle w:val="afb"/>
        <w:tblW w:w="0" w:type="auto"/>
        <w:tblLook w:val="04A0" w:firstRow="1" w:lastRow="0" w:firstColumn="1" w:lastColumn="0" w:noHBand="0" w:noVBand="1"/>
      </w:tblPr>
      <w:tblGrid>
        <w:gridCol w:w="9629"/>
      </w:tblGrid>
      <w:tr w:rsidR="009F14C1" w14:paraId="5A63A519" w14:textId="77777777" w:rsidTr="009F14C1">
        <w:tc>
          <w:tcPr>
            <w:tcW w:w="9629" w:type="dxa"/>
          </w:tcPr>
          <w:p w14:paraId="0A425B01" w14:textId="77777777" w:rsidR="009F14C1" w:rsidRDefault="009F14C1" w:rsidP="00AA6B3C">
            <w:pPr>
              <w:rPr>
                <w:rFonts w:eastAsia="新細明體"/>
                <w:lang w:eastAsia="zh-TW"/>
              </w:rPr>
            </w:pPr>
          </w:p>
          <w:p w14:paraId="27D10740" w14:textId="01014933" w:rsidR="009F14C1" w:rsidRDefault="009F14C1" w:rsidP="009F14C1">
            <w:pPr>
              <w:pStyle w:val="TH"/>
              <w:rPr>
                <w:lang w:eastAsia="en-GB"/>
              </w:rPr>
            </w:pPr>
            <w:r>
              <w:rPr>
                <w:noProof/>
              </w:rPr>
              <w:drawing>
                <wp:inline distT="0" distB="0" distL="0" distR="0" wp14:anchorId="4682ED29" wp14:editId="1D6A637A">
                  <wp:extent cx="4689356" cy="1705912"/>
                  <wp:effectExtent l="0" t="0" r="0" b="889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1858" cy="1706822"/>
                          </a:xfrm>
                          <a:prstGeom prst="rect">
                            <a:avLst/>
                          </a:prstGeom>
                          <a:noFill/>
                          <a:ln>
                            <a:noFill/>
                          </a:ln>
                        </pic:spPr>
                      </pic:pic>
                    </a:graphicData>
                  </a:graphic>
                </wp:inline>
              </w:drawing>
            </w:r>
          </w:p>
          <w:p w14:paraId="190FF56C" w14:textId="76965AB3" w:rsidR="009F14C1" w:rsidRDefault="00A4172F" w:rsidP="009F14C1">
            <w:pPr>
              <w:pStyle w:val="TF"/>
            </w:pPr>
            <w:bookmarkStart w:id="11" w:name="_CRFigure6_6_2_31"/>
            <w:r>
              <w:t xml:space="preserve">TS 36.101 </w:t>
            </w:r>
            <w:r w:rsidR="009F14C1">
              <w:t xml:space="preserve">Figure </w:t>
            </w:r>
            <w:bookmarkEnd w:id="11"/>
            <w:r w:rsidR="009F14C1">
              <w:t>6.6.2.3-1: Adjacent Channel Leakage requirements for one E-UTRA carrier</w:t>
            </w:r>
          </w:p>
          <w:p w14:paraId="0E0B1650" w14:textId="77777777" w:rsidR="009F14C1" w:rsidRPr="009F14C1" w:rsidRDefault="009F14C1" w:rsidP="00AA6B3C">
            <w:pPr>
              <w:rPr>
                <w:rFonts w:eastAsia="新細明體"/>
                <w:lang w:eastAsia="zh-TW"/>
              </w:rPr>
            </w:pPr>
          </w:p>
        </w:tc>
      </w:tr>
    </w:tbl>
    <w:p w14:paraId="336E3CB4" w14:textId="77777777" w:rsidR="009F14C1" w:rsidRDefault="009F14C1" w:rsidP="00AA6B3C">
      <w:pPr>
        <w:rPr>
          <w:rFonts w:eastAsia="新細明體"/>
          <w:lang w:eastAsia="zh-TW"/>
        </w:rPr>
      </w:pPr>
    </w:p>
    <w:tbl>
      <w:tblPr>
        <w:tblStyle w:val="afb"/>
        <w:tblW w:w="0" w:type="auto"/>
        <w:tblLook w:val="04A0" w:firstRow="1" w:lastRow="0" w:firstColumn="1" w:lastColumn="0" w:noHBand="0" w:noVBand="1"/>
      </w:tblPr>
      <w:tblGrid>
        <w:gridCol w:w="4814"/>
        <w:gridCol w:w="4815"/>
      </w:tblGrid>
      <w:tr w:rsidR="009F14C1" w14:paraId="2B5C99E4" w14:textId="77777777" w:rsidTr="00C9650D">
        <w:tc>
          <w:tcPr>
            <w:tcW w:w="4814" w:type="dxa"/>
          </w:tcPr>
          <w:p w14:paraId="205D58FE" w14:textId="7FA4117F" w:rsidR="009F14C1" w:rsidRPr="00BC5C2A" w:rsidRDefault="00BC5C2A" w:rsidP="00BC5C2A">
            <w:pPr>
              <w:pStyle w:val="TH"/>
              <w:rPr>
                <w:rFonts w:eastAsiaTheme="minorEastAsia"/>
                <w:lang w:eastAsia="zh-TW"/>
              </w:rPr>
            </w:pPr>
            <w:bookmarkStart w:id="12" w:name="OLE_LINK75"/>
            <w:bookmarkStart w:id="13" w:name="_CRTable6_6_2_3_11"/>
            <w:r>
              <w:rPr>
                <w:rFonts w:eastAsiaTheme="minorEastAsia" w:hint="eastAsia"/>
                <w:lang w:eastAsia="zh-TW"/>
              </w:rPr>
              <w:t>T</w:t>
            </w:r>
            <w:r>
              <w:rPr>
                <w:rFonts w:eastAsiaTheme="minorEastAsia"/>
                <w:lang w:eastAsia="zh-TW"/>
              </w:rPr>
              <w:t>S 36.101</w:t>
            </w:r>
            <w:r>
              <w:rPr>
                <w:rFonts w:eastAsiaTheme="minorEastAsia" w:hint="eastAsia"/>
                <w:lang w:eastAsia="zh-TW"/>
              </w:rPr>
              <w:t xml:space="preserve"> </w:t>
            </w:r>
            <w:bookmarkEnd w:id="12"/>
            <w:r w:rsidR="009F14C1">
              <w:t xml:space="preserve">Table </w:t>
            </w:r>
            <w:bookmarkEnd w:id="13"/>
            <w:r w:rsidR="009F14C1">
              <w:t>6.6.2.3.1-1: General requirements for E-UTRA</w:t>
            </w:r>
            <w:r w:rsidR="009F14C1">
              <w:rPr>
                <w:vertAlign w:val="subscript"/>
              </w:rPr>
              <w:t>ACLR</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559"/>
            </w:tblGrid>
            <w:tr w:rsidR="009F14C1" w14:paraId="625D689D" w14:textId="77777777" w:rsidTr="003573FB">
              <w:tc>
                <w:tcPr>
                  <w:tcW w:w="1701" w:type="dxa"/>
                  <w:vMerge w:val="restart"/>
                  <w:tcBorders>
                    <w:top w:val="single" w:sz="4" w:space="0" w:color="auto"/>
                    <w:left w:val="single" w:sz="4" w:space="0" w:color="auto"/>
                    <w:bottom w:val="single" w:sz="4" w:space="0" w:color="auto"/>
                    <w:right w:val="single" w:sz="4" w:space="0" w:color="auto"/>
                  </w:tcBorders>
                  <w:hideMark/>
                </w:tcPr>
                <w:p w14:paraId="382BC976" w14:textId="77777777" w:rsidR="009F14C1" w:rsidRDefault="009F14C1" w:rsidP="009F14C1">
                  <w:pPr>
                    <w:pStyle w:val="TAH"/>
                    <w:rPr>
                      <w:rFonts w:eastAsiaTheme="minorEastAsia" w:cs="Arial"/>
                      <w:lang w:eastAsia="zh-TW"/>
                    </w:rPr>
                  </w:pPr>
                  <w:r>
                    <w:rPr>
                      <w:rFonts w:eastAsiaTheme="minorEastAsia" w:cs="Arial"/>
                    </w:rPr>
                    <w:t xml:space="preserve">  </w:t>
                  </w:r>
                </w:p>
              </w:tc>
              <w:tc>
                <w:tcPr>
                  <w:tcW w:w="2559" w:type="dxa"/>
                  <w:tcBorders>
                    <w:top w:val="single" w:sz="4" w:space="0" w:color="auto"/>
                    <w:left w:val="single" w:sz="4" w:space="0" w:color="auto"/>
                    <w:bottom w:val="single" w:sz="4" w:space="0" w:color="auto"/>
                    <w:right w:val="single" w:sz="4" w:space="0" w:color="auto"/>
                  </w:tcBorders>
                  <w:hideMark/>
                </w:tcPr>
                <w:p w14:paraId="02DC8EC2" w14:textId="77777777" w:rsidR="009F14C1" w:rsidRDefault="009F14C1" w:rsidP="009F14C1">
                  <w:pPr>
                    <w:pStyle w:val="TAH"/>
                    <w:rPr>
                      <w:rFonts w:cs="Arial"/>
                    </w:rPr>
                  </w:pPr>
                  <w:r>
                    <w:rPr>
                      <w:rFonts w:cs="Arial"/>
                    </w:rPr>
                    <w:t>Channel bandwidth / E-UTRA</w:t>
                  </w:r>
                  <w:r>
                    <w:rPr>
                      <w:rFonts w:cs="Arial"/>
                      <w:vertAlign w:val="subscript"/>
                    </w:rPr>
                    <w:t xml:space="preserve">ACLR1 </w:t>
                  </w:r>
                  <w:r>
                    <w:rPr>
                      <w:rFonts w:cs="Arial"/>
                    </w:rPr>
                    <w:t>/ Measurement bandwidth</w:t>
                  </w:r>
                </w:p>
              </w:tc>
            </w:tr>
            <w:tr w:rsidR="009F14C1" w14:paraId="75AAB6B1" w14:textId="77777777" w:rsidTr="003573FB">
              <w:tc>
                <w:tcPr>
                  <w:tcW w:w="1701" w:type="dxa"/>
                  <w:vMerge/>
                  <w:tcBorders>
                    <w:top w:val="single" w:sz="4" w:space="0" w:color="auto"/>
                    <w:left w:val="single" w:sz="4" w:space="0" w:color="auto"/>
                    <w:bottom w:val="single" w:sz="4" w:space="0" w:color="auto"/>
                    <w:right w:val="single" w:sz="4" w:space="0" w:color="auto"/>
                  </w:tcBorders>
                  <w:vAlign w:val="center"/>
                  <w:hideMark/>
                </w:tcPr>
                <w:p w14:paraId="34833B76" w14:textId="77777777" w:rsidR="009F14C1" w:rsidRDefault="009F14C1" w:rsidP="009F14C1">
                  <w:pPr>
                    <w:spacing w:after="0"/>
                    <w:rPr>
                      <w:rFonts w:ascii="Arial" w:eastAsiaTheme="minorEastAsia" w:hAnsi="Arial" w:cs="Arial"/>
                      <w:b/>
                      <w:sz w:val="18"/>
                      <w:lang w:eastAsia="zh-TW"/>
                    </w:rPr>
                  </w:pPr>
                </w:p>
              </w:tc>
              <w:tc>
                <w:tcPr>
                  <w:tcW w:w="2559" w:type="dxa"/>
                  <w:tcBorders>
                    <w:top w:val="single" w:sz="4" w:space="0" w:color="auto"/>
                    <w:left w:val="single" w:sz="4" w:space="0" w:color="auto"/>
                    <w:bottom w:val="single" w:sz="4" w:space="0" w:color="auto"/>
                    <w:right w:val="single" w:sz="4" w:space="0" w:color="auto"/>
                  </w:tcBorders>
                  <w:hideMark/>
                </w:tcPr>
                <w:p w14:paraId="298CE1FB" w14:textId="77777777" w:rsidR="009F14C1" w:rsidRDefault="009F14C1" w:rsidP="009F14C1">
                  <w:pPr>
                    <w:pStyle w:val="TAH"/>
                    <w:rPr>
                      <w:rFonts w:cs="Arial"/>
                    </w:rPr>
                  </w:pPr>
                  <w:r>
                    <w:rPr>
                      <w:rFonts w:cs="Arial"/>
                    </w:rPr>
                    <w:t>1.4</w:t>
                  </w:r>
                </w:p>
                <w:p w14:paraId="1CC611EF" w14:textId="77777777" w:rsidR="009F14C1" w:rsidRDefault="009F14C1" w:rsidP="009F14C1">
                  <w:pPr>
                    <w:pStyle w:val="TAH"/>
                    <w:rPr>
                      <w:rFonts w:cs="Arial"/>
                    </w:rPr>
                  </w:pPr>
                  <w:r>
                    <w:rPr>
                      <w:rFonts w:cs="Arial"/>
                    </w:rPr>
                    <w:t>MHz</w:t>
                  </w:r>
                </w:p>
              </w:tc>
            </w:tr>
            <w:tr w:rsidR="009F14C1" w14:paraId="28FA2872" w14:textId="77777777" w:rsidTr="003573FB">
              <w:tc>
                <w:tcPr>
                  <w:tcW w:w="1701" w:type="dxa"/>
                  <w:tcBorders>
                    <w:top w:val="single" w:sz="4" w:space="0" w:color="auto"/>
                    <w:left w:val="single" w:sz="4" w:space="0" w:color="auto"/>
                    <w:bottom w:val="single" w:sz="4" w:space="0" w:color="auto"/>
                    <w:right w:val="single" w:sz="4" w:space="0" w:color="auto"/>
                  </w:tcBorders>
                  <w:vAlign w:val="center"/>
                  <w:hideMark/>
                </w:tcPr>
                <w:p w14:paraId="312F9F56" w14:textId="77777777" w:rsidR="009F14C1" w:rsidRDefault="009F14C1" w:rsidP="009F14C1">
                  <w:pPr>
                    <w:pStyle w:val="TAC"/>
                    <w:rPr>
                      <w:rFonts w:cs="Arial"/>
                    </w:rPr>
                  </w:pPr>
                  <w:r>
                    <w:rPr>
                      <w:rFonts w:cs="Arial"/>
                    </w:rPr>
                    <w:t>E-UTRA</w:t>
                  </w:r>
                  <w:r>
                    <w:rPr>
                      <w:rFonts w:cs="Arial"/>
                      <w:vertAlign w:val="subscript"/>
                    </w:rPr>
                    <w:t>ACLR1</w:t>
                  </w:r>
                </w:p>
              </w:tc>
              <w:tc>
                <w:tcPr>
                  <w:tcW w:w="2559" w:type="dxa"/>
                  <w:tcBorders>
                    <w:top w:val="single" w:sz="4" w:space="0" w:color="auto"/>
                    <w:left w:val="single" w:sz="4" w:space="0" w:color="auto"/>
                    <w:bottom w:val="single" w:sz="4" w:space="0" w:color="auto"/>
                    <w:right w:val="single" w:sz="4" w:space="0" w:color="auto"/>
                  </w:tcBorders>
                  <w:vAlign w:val="center"/>
                  <w:hideMark/>
                </w:tcPr>
                <w:p w14:paraId="0B00639D" w14:textId="77777777" w:rsidR="009F14C1" w:rsidRDefault="009F14C1" w:rsidP="009F14C1">
                  <w:pPr>
                    <w:pStyle w:val="TAC"/>
                    <w:rPr>
                      <w:rFonts w:cs="Arial"/>
                    </w:rPr>
                  </w:pPr>
                  <w:r>
                    <w:rPr>
                      <w:rFonts w:cs="Arial"/>
                    </w:rPr>
                    <w:t>30 dB</w:t>
                  </w:r>
                </w:p>
              </w:tc>
            </w:tr>
            <w:tr w:rsidR="009F14C1" w14:paraId="7DA5A29F" w14:textId="77777777" w:rsidTr="003573FB">
              <w:tc>
                <w:tcPr>
                  <w:tcW w:w="1701" w:type="dxa"/>
                  <w:tcBorders>
                    <w:top w:val="single" w:sz="4" w:space="0" w:color="auto"/>
                    <w:left w:val="single" w:sz="4" w:space="0" w:color="auto"/>
                    <w:bottom w:val="single" w:sz="4" w:space="0" w:color="auto"/>
                    <w:right w:val="single" w:sz="4" w:space="0" w:color="auto"/>
                  </w:tcBorders>
                  <w:vAlign w:val="center"/>
                  <w:hideMark/>
                </w:tcPr>
                <w:p w14:paraId="1FEE6FEA" w14:textId="77777777" w:rsidR="009F14C1" w:rsidRDefault="009F14C1" w:rsidP="009F14C1">
                  <w:pPr>
                    <w:pStyle w:val="TAC"/>
                    <w:rPr>
                      <w:rFonts w:cs="Arial"/>
                    </w:rPr>
                  </w:pPr>
                  <w:r>
                    <w:rPr>
                      <w:rFonts w:cs="Arial"/>
                    </w:rPr>
                    <w:t>E-UTRA channel Measurement bandwidth</w:t>
                  </w:r>
                </w:p>
              </w:tc>
              <w:tc>
                <w:tcPr>
                  <w:tcW w:w="2559" w:type="dxa"/>
                  <w:tcBorders>
                    <w:top w:val="single" w:sz="4" w:space="0" w:color="auto"/>
                    <w:left w:val="single" w:sz="4" w:space="0" w:color="auto"/>
                    <w:bottom w:val="single" w:sz="4" w:space="0" w:color="auto"/>
                    <w:right w:val="single" w:sz="4" w:space="0" w:color="auto"/>
                  </w:tcBorders>
                  <w:vAlign w:val="center"/>
                  <w:hideMark/>
                </w:tcPr>
                <w:p w14:paraId="194816F6" w14:textId="77777777" w:rsidR="009F14C1" w:rsidRDefault="009F14C1" w:rsidP="009F14C1">
                  <w:pPr>
                    <w:pStyle w:val="TAC"/>
                    <w:rPr>
                      <w:rFonts w:cs="Arial"/>
                    </w:rPr>
                  </w:pPr>
                  <w:r>
                    <w:rPr>
                      <w:rFonts w:cs="Arial"/>
                    </w:rPr>
                    <w:t>1.08 MHz</w:t>
                  </w:r>
                </w:p>
              </w:tc>
            </w:tr>
            <w:tr w:rsidR="009F14C1" w14:paraId="636572AD" w14:textId="77777777" w:rsidTr="003573FB">
              <w:tc>
                <w:tcPr>
                  <w:tcW w:w="1701" w:type="dxa"/>
                  <w:tcBorders>
                    <w:top w:val="single" w:sz="4" w:space="0" w:color="auto"/>
                    <w:left w:val="single" w:sz="4" w:space="0" w:color="auto"/>
                    <w:bottom w:val="single" w:sz="4" w:space="0" w:color="auto"/>
                    <w:right w:val="single" w:sz="4" w:space="0" w:color="auto"/>
                  </w:tcBorders>
                  <w:vAlign w:val="center"/>
                  <w:hideMark/>
                </w:tcPr>
                <w:p w14:paraId="565CA3FF" w14:textId="77777777" w:rsidR="009F14C1" w:rsidRDefault="009F14C1" w:rsidP="009F14C1">
                  <w:pPr>
                    <w:pStyle w:val="TAC"/>
                    <w:rPr>
                      <w:rFonts w:cs="Arial"/>
                    </w:rPr>
                  </w:pPr>
                  <w:r>
                    <w:rPr>
                      <w:rFonts w:cs="Arial"/>
                    </w:rPr>
                    <w:t>Adjacent channel centre frequency offset [MHz]</w:t>
                  </w:r>
                </w:p>
              </w:tc>
              <w:tc>
                <w:tcPr>
                  <w:tcW w:w="2559" w:type="dxa"/>
                  <w:tcBorders>
                    <w:top w:val="single" w:sz="4" w:space="0" w:color="auto"/>
                    <w:left w:val="single" w:sz="4" w:space="0" w:color="auto"/>
                    <w:bottom w:val="single" w:sz="4" w:space="0" w:color="auto"/>
                    <w:right w:val="single" w:sz="4" w:space="0" w:color="auto"/>
                  </w:tcBorders>
                  <w:vAlign w:val="center"/>
                  <w:hideMark/>
                </w:tcPr>
                <w:p w14:paraId="3B0C5FC1" w14:textId="77777777" w:rsidR="009F14C1" w:rsidRDefault="009F14C1" w:rsidP="009F14C1">
                  <w:pPr>
                    <w:pStyle w:val="TAC"/>
                    <w:rPr>
                      <w:rFonts w:cs="Arial"/>
                    </w:rPr>
                  </w:pPr>
                  <w:r>
                    <w:rPr>
                      <w:rFonts w:cs="Arial"/>
                    </w:rPr>
                    <w:t>+1.4</w:t>
                  </w:r>
                </w:p>
                <w:p w14:paraId="64C23B17" w14:textId="77777777" w:rsidR="009F14C1" w:rsidRDefault="009F14C1" w:rsidP="009F14C1">
                  <w:pPr>
                    <w:pStyle w:val="TAC"/>
                    <w:rPr>
                      <w:rFonts w:cs="Arial"/>
                    </w:rPr>
                  </w:pPr>
                  <w:r>
                    <w:rPr>
                      <w:rFonts w:cs="Arial"/>
                    </w:rPr>
                    <w:t>/</w:t>
                  </w:r>
                </w:p>
                <w:p w14:paraId="0A61C23E" w14:textId="77777777" w:rsidR="009F14C1" w:rsidRDefault="009F14C1" w:rsidP="009F14C1">
                  <w:pPr>
                    <w:pStyle w:val="TAC"/>
                    <w:rPr>
                      <w:rFonts w:cs="Arial"/>
                    </w:rPr>
                  </w:pPr>
                  <w:r>
                    <w:rPr>
                      <w:rFonts w:cs="Arial"/>
                    </w:rPr>
                    <w:t>-1.4</w:t>
                  </w:r>
                </w:p>
              </w:tc>
            </w:tr>
          </w:tbl>
          <w:p w14:paraId="7BE41720" w14:textId="77777777" w:rsidR="009F14C1" w:rsidRDefault="009F14C1" w:rsidP="00AA6B3C">
            <w:pPr>
              <w:rPr>
                <w:rFonts w:eastAsia="新細明體"/>
                <w:lang w:eastAsia="zh-TW"/>
              </w:rPr>
            </w:pPr>
          </w:p>
        </w:tc>
        <w:tc>
          <w:tcPr>
            <w:tcW w:w="4815" w:type="dxa"/>
          </w:tcPr>
          <w:p w14:paraId="367E8D11" w14:textId="0DC6E8CB" w:rsidR="009F14C1" w:rsidRDefault="00BC5C2A" w:rsidP="009F14C1">
            <w:pPr>
              <w:pStyle w:val="TH"/>
              <w:rPr>
                <w:rFonts w:cs="v5.0.0"/>
                <w:lang w:eastAsia="en-GB"/>
              </w:rPr>
            </w:pPr>
            <w:r>
              <w:rPr>
                <w:rFonts w:eastAsiaTheme="minorEastAsia"/>
                <w:lang w:eastAsia="zh-TW"/>
              </w:rPr>
              <w:t xml:space="preserve">TS 36.101 </w:t>
            </w:r>
            <w:r w:rsidR="009F14C1" w:rsidRPr="009F14C1">
              <w:t>Table 6.6.2.3.1-2: Additional E-UTRA</w:t>
            </w:r>
            <w:r w:rsidR="009F14C1" w:rsidRPr="009F14C1">
              <w:rPr>
                <w:vertAlign w:val="subscript"/>
              </w:rPr>
              <w:t>ACLR</w:t>
            </w:r>
            <w:r w:rsidR="009F14C1" w:rsidRPr="009F14C1">
              <w:t xml:space="preserve"> requirements for Power Class 1</w:t>
            </w:r>
            <w:r w:rsidR="009F14C1">
              <w:rPr>
                <w:vertAlign w:val="subscript"/>
              </w:rPr>
              <w:t xml:space="preserve"> </w:t>
            </w: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558"/>
            </w:tblGrid>
            <w:tr w:rsidR="009F14C1" w14:paraId="737DA7D9" w14:textId="77777777" w:rsidTr="003573FB">
              <w:tc>
                <w:tcPr>
                  <w:tcW w:w="1701" w:type="dxa"/>
                  <w:vMerge w:val="restart"/>
                  <w:tcBorders>
                    <w:top w:val="single" w:sz="4" w:space="0" w:color="auto"/>
                    <w:left w:val="single" w:sz="4" w:space="0" w:color="auto"/>
                    <w:bottom w:val="single" w:sz="4" w:space="0" w:color="auto"/>
                    <w:right w:val="single" w:sz="4" w:space="0" w:color="auto"/>
                  </w:tcBorders>
                  <w:hideMark/>
                </w:tcPr>
                <w:p w14:paraId="2FF6937A" w14:textId="77777777" w:rsidR="009F14C1" w:rsidRDefault="009F14C1" w:rsidP="009F14C1">
                  <w:pPr>
                    <w:pStyle w:val="TAH"/>
                    <w:rPr>
                      <w:rFonts w:eastAsiaTheme="minorEastAsia" w:cs="Arial"/>
                      <w:lang w:eastAsia="zh-TW"/>
                    </w:rPr>
                  </w:pPr>
                  <w:r>
                    <w:rPr>
                      <w:rFonts w:eastAsiaTheme="minorEastAsia" w:cs="Arial"/>
                    </w:rPr>
                    <w:t xml:space="preserve">  </w:t>
                  </w:r>
                </w:p>
              </w:tc>
              <w:tc>
                <w:tcPr>
                  <w:tcW w:w="2558" w:type="dxa"/>
                  <w:tcBorders>
                    <w:top w:val="single" w:sz="4" w:space="0" w:color="auto"/>
                    <w:left w:val="single" w:sz="4" w:space="0" w:color="auto"/>
                    <w:bottom w:val="single" w:sz="4" w:space="0" w:color="auto"/>
                    <w:right w:val="single" w:sz="4" w:space="0" w:color="auto"/>
                  </w:tcBorders>
                  <w:hideMark/>
                </w:tcPr>
                <w:p w14:paraId="2184820B" w14:textId="77777777" w:rsidR="009F14C1" w:rsidRDefault="009F14C1" w:rsidP="009F14C1">
                  <w:pPr>
                    <w:pStyle w:val="TAH"/>
                    <w:rPr>
                      <w:rFonts w:cs="Arial"/>
                    </w:rPr>
                  </w:pPr>
                  <w:r>
                    <w:rPr>
                      <w:rFonts w:cs="Arial"/>
                    </w:rPr>
                    <w:t>Channel bandwidth / E-UTRA</w:t>
                  </w:r>
                  <w:r>
                    <w:rPr>
                      <w:rFonts w:cs="Arial"/>
                      <w:vertAlign w:val="subscript"/>
                    </w:rPr>
                    <w:t xml:space="preserve">ACLR1 </w:t>
                  </w:r>
                  <w:r>
                    <w:rPr>
                      <w:rFonts w:cs="Arial"/>
                    </w:rPr>
                    <w:t>/ Measurement bandwidth</w:t>
                  </w:r>
                </w:p>
              </w:tc>
            </w:tr>
            <w:tr w:rsidR="009F14C1" w14:paraId="5B410BA1" w14:textId="77777777" w:rsidTr="003573FB">
              <w:tc>
                <w:tcPr>
                  <w:tcW w:w="1701" w:type="dxa"/>
                  <w:vMerge/>
                  <w:tcBorders>
                    <w:top w:val="single" w:sz="4" w:space="0" w:color="auto"/>
                    <w:left w:val="single" w:sz="4" w:space="0" w:color="auto"/>
                    <w:bottom w:val="single" w:sz="4" w:space="0" w:color="auto"/>
                    <w:right w:val="single" w:sz="4" w:space="0" w:color="auto"/>
                  </w:tcBorders>
                  <w:vAlign w:val="center"/>
                  <w:hideMark/>
                </w:tcPr>
                <w:p w14:paraId="369D3774" w14:textId="77777777" w:rsidR="009F14C1" w:rsidRDefault="009F14C1" w:rsidP="009F14C1">
                  <w:pPr>
                    <w:spacing w:after="0"/>
                    <w:rPr>
                      <w:rFonts w:ascii="Arial" w:eastAsiaTheme="minorEastAsia" w:hAnsi="Arial" w:cs="Arial"/>
                      <w:b/>
                      <w:sz w:val="18"/>
                      <w:lang w:eastAsia="zh-TW"/>
                    </w:rPr>
                  </w:pPr>
                </w:p>
              </w:tc>
              <w:tc>
                <w:tcPr>
                  <w:tcW w:w="2558" w:type="dxa"/>
                  <w:tcBorders>
                    <w:top w:val="single" w:sz="4" w:space="0" w:color="auto"/>
                    <w:left w:val="single" w:sz="4" w:space="0" w:color="auto"/>
                    <w:bottom w:val="single" w:sz="4" w:space="0" w:color="auto"/>
                    <w:right w:val="single" w:sz="4" w:space="0" w:color="auto"/>
                  </w:tcBorders>
                  <w:hideMark/>
                </w:tcPr>
                <w:p w14:paraId="48652E4A" w14:textId="77777777" w:rsidR="009F14C1" w:rsidRDefault="009F14C1" w:rsidP="009F14C1">
                  <w:pPr>
                    <w:pStyle w:val="TAH"/>
                    <w:rPr>
                      <w:rFonts w:cs="Arial"/>
                    </w:rPr>
                  </w:pPr>
                  <w:r>
                    <w:rPr>
                      <w:rFonts w:cs="Arial"/>
                    </w:rPr>
                    <w:t>1.4</w:t>
                  </w:r>
                </w:p>
                <w:p w14:paraId="6CAD9BDB" w14:textId="77777777" w:rsidR="009F14C1" w:rsidRDefault="009F14C1" w:rsidP="009F14C1">
                  <w:pPr>
                    <w:pStyle w:val="TAH"/>
                    <w:rPr>
                      <w:rFonts w:cs="Arial"/>
                    </w:rPr>
                  </w:pPr>
                  <w:r>
                    <w:rPr>
                      <w:rFonts w:cs="Arial"/>
                    </w:rPr>
                    <w:t>MHz</w:t>
                  </w:r>
                </w:p>
              </w:tc>
            </w:tr>
            <w:tr w:rsidR="009F14C1" w14:paraId="70FA481E" w14:textId="77777777" w:rsidTr="003573FB">
              <w:tc>
                <w:tcPr>
                  <w:tcW w:w="1701" w:type="dxa"/>
                  <w:tcBorders>
                    <w:top w:val="single" w:sz="4" w:space="0" w:color="auto"/>
                    <w:left w:val="single" w:sz="4" w:space="0" w:color="auto"/>
                    <w:bottom w:val="single" w:sz="4" w:space="0" w:color="auto"/>
                    <w:right w:val="single" w:sz="4" w:space="0" w:color="auto"/>
                  </w:tcBorders>
                  <w:vAlign w:val="center"/>
                  <w:hideMark/>
                </w:tcPr>
                <w:p w14:paraId="69680F0E" w14:textId="77777777" w:rsidR="009F14C1" w:rsidRDefault="009F14C1" w:rsidP="009F14C1">
                  <w:pPr>
                    <w:pStyle w:val="TAC"/>
                    <w:rPr>
                      <w:rFonts w:cs="Arial"/>
                    </w:rPr>
                  </w:pPr>
                  <w:r>
                    <w:rPr>
                      <w:rFonts w:cs="Arial"/>
                    </w:rPr>
                    <w:t>E-UTRA</w:t>
                  </w:r>
                  <w:r>
                    <w:rPr>
                      <w:rFonts w:cs="Arial"/>
                      <w:vertAlign w:val="subscript"/>
                    </w:rPr>
                    <w:t>ACLR1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81677AF" w14:textId="5E845A30" w:rsidR="009F14C1" w:rsidRDefault="009F14C1" w:rsidP="009F14C1">
                  <w:pPr>
                    <w:pStyle w:val="TAC"/>
                    <w:rPr>
                      <w:rFonts w:cs="Arial"/>
                    </w:rPr>
                  </w:pPr>
                  <w:r>
                    <w:rPr>
                      <w:rFonts w:cs="Arial"/>
                    </w:rPr>
                    <w:t>37 dB</w:t>
                  </w:r>
                </w:p>
              </w:tc>
            </w:tr>
            <w:tr w:rsidR="009F14C1" w14:paraId="1CAD0262" w14:textId="77777777" w:rsidTr="003573FB">
              <w:tc>
                <w:tcPr>
                  <w:tcW w:w="1701" w:type="dxa"/>
                  <w:tcBorders>
                    <w:top w:val="single" w:sz="4" w:space="0" w:color="auto"/>
                    <w:left w:val="single" w:sz="4" w:space="0" w:color="auto"/>
                    <w:bottom w:val="single" w:sz="4" w:space="0" w:color="auto"/>
                    <w:right w:val="single" w:sz="4" w:space="0" w:color="auto"/>
                  </w:tcBorders>
                  <w:vAlign w:val="center"/>
                  <w:hideMark/>
                </w:tcPr>
                <w:p w14:paraId="4CAD950B" w14:textId="77777777" w:rsidR="009F14C1" w:rsidRDefault="009F14C1" w:rsidP="009F14C1">
                  <w:pPr>
                    <w:pStyle w:val="TAC"/>
                    <w:rPr>
                      <w:rFonts w:cs="Arial"/>
                    </w:rPr>
                  </w:pPr>
                  <w:r>
                    <w:rPr>
                      <w:rFonts w:cs="Arial"/>
                    </w:rPr>
                    <w:t>E-UTRA channel Measurement bandwidth</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A3BA16F" w14:textId="77777777" w:rsidR="009F14C1" w:rsidRDefault="009F14C1" w:rsidP="009F14C1">
                  <w:pPr>
                    <w:pStyle w:val="TAC"/>
                    <w:rPr>
                      <w:rFonts w:cs="Arial"/>
                    </w:rPr>
                  </w:pPr>
                  <w:r>
                    <w:rPr>
                      <w:rFonts w:cs="Arial"/>
                    </w:rPr>
                    <w:t>1.08 MHz</w:t>
                  </w:r>
                </w:p>
              </w:tc>
            </w:tr>
            <w:tr w:rsidR="009F14C1" w14:paraId="3E279E88" w14:textId="77777777" w:rsidTr="003573FB">
              <w:tc>
                <w:tcPr>
                  <w:tcW w:w="1701" w:type="dxa"/>
                  <w:tcBorders>
                    <w:top w:val="single" w:sz="4" w:space="0" w:color="auto"/>
                    <w:left w:val="single" w:sz="4" w:space="0" w:color="auto"/>
                    <w:bottom w:val="single" w:sz="4" w:space="0" w:color="auto"/>
                    <w:right w:val="single" w:sz="4" w:space="0" w:color="auto"/>
                  </w:tcBorders>
                  <w:vAlign w:val="center"/>
                  <w:hideMark/>
                </w:tcPr>
                <w:p w14:paraId="34412206" w14:textId="77777777" w:rsidR="009F14C1" w:rsidRDefault="009F14C1" w:rsidP="009F14C1">
                  <w:pPr>
                    <w:pStyle w:val="TAC"/>
                    <w:rPr>
                      <w:rFonts w:cs="Arial"/>
                    </w:rPr>
                  </w:pPr>
                  <w:r>
                    <w:rPr>
                      <w:rFonts w:cs="Arial"/>
                    </w:rPr>
                    <w:t>Adjacent channel centre frequency offset [MHz]</w:t>
                  </w:r>
                </w:p>
              </w:tc>
              <w:tc>
                <w:tcPr>
                  <w:tcW w:w="2558" w:type="dxa"/>
                  <w:tcBorders>
                    <w:top w:val="single" w:sz="4" w:space="0" w:color="auto"/>
                    <w:left w:val="single" w:sz="4" w:space="0" w:color="auto"/>
                    <w:bottom w:val="single" w:sz="4" w:space="0" w:color="auto"/>
                    <w:right w:val="single" w:sz="4" w:space="0" w:color="auto"/>
                  </w:tcBorders>
                  <w:vAlign w:val="center"/>
                  <w:hideMark/>
                </w:tcPr>
                <w:p w14:paraId="41C31167" w14:textId="77777777" w:rsidR="009F14C1" w:rsidRDefault="009F14C1" w:rsidP="009F14C1">
                  <w:pPr>
                    <w:pStyle w:val="TAC"/>
                    <w:rPr>
                      <w:rFonts w:cs="Arial"/>
                    </w:rPr>
                  </w:pPr>
                  <w:r>
                    <w:rPr>
                      <w:rFonts w:cs="Arial"/>
                    </w:rPr>
                    <w:t>+1.4</w:t>
                  </w:r>
                </w:p>
                <w:p w14:paraId="737F725C" w14:textId="77777777" w:rsidR="009F14C1" w:rsidRDefault="009F14C1" w:rsidP="009F14C1">
                  <w:pPr>
                    <w:pStyle w:val="TAC"/>
                    <w:rPr>
                      <w:rFonts w:cs="Arial"/>
                    </w:rPr>
                  </w:pPr>
                  <w:r>
                    <w:rPr>
                      <w:rFonts w:cs="Arial"/>
                    </w:rPr>
                    <w:t>/</w:t>
                  </w:r>
                </w:p>
                <w:p w14:paraId="7B531A5F" w14:textId="77777777" w:rsidR="009F14C1" w:rsidRDefault="009F14C1" w:rsidP="009F14C1">
                  <w:pPr>
                    <w:pStyle w:val="TAC"/>
                    <w:rPr>
                      <w:rFonts w:cs="Arial"/>
                    </w:rPr>
                  </w:pPr>
                  <w:r>
                    <w:rPr>
                      <w:rFonts w:cs="Arial"/>
                    </w:rPr>
                    <w:t>-1.4</w:t>
                  </w:r>
                </w:p>
              </w:tc>
            </w:tr>
          </w:tbl>
          <w:p w14:paraId="2095BC11" w14:textId="77777777" w:rsidR="009F14C1" w:rsidRDefault="009F14C1" w:rsidP="00AA6B3C">
            <w:pPr>
              <w:rPr>
                <w:rFonts w:eastAsia="新細明體"/>
                <w:lang w:eastAsia="zh-TW"/>
              </w:rPr>
            </w:pPr>
          </w:p>
        </w:tc>
      </w:tr>
    </w:tbl>
    <w:p w14:paraId="743CCF7E" w14:textId="77777777" w:rsidR="00A82072" w:rsidRDefault="00A82072" w:rsidP="00AA6B3C">
      <w:pPr>
        <w:rPr>
          <w:rFonts w:eastAsia="新細明體"/>
          <w:lang w:eastAsia="zh-TW"/>
        </w:rPr>
      </w:pPr>
    </w:p>
    <w:tbl>
      <w:tblPr>
        <w:tblStyle w:val="afb"/>
        <w:tblW w:w="0" w:type="auto"/>
        <w:tblLook w:val="04A0" w:firstRow="1" w:lastRow="0" w:firstColumn="1" w:lastColumn="0" w:noHBand="0" w:noVBand="1"/>
      </w:tblPr>
      <w:tblGrid>
        <w:gridCol w:w="9629"/>
      </w:tblGrid>
      <w:tr w:rsidR="00E91EAC" w14:paraId="03FBFC96" w14:textId="77777777" w:rsidTr="00E91EAC">
        <w:tc>
          <w:tcPr>
            <w:tcW w:w="9629" w:type="dxa"/>
          </w:tcPr>
          <w:p w14:paraId="1DD3E79E" w14:textId="26B6D22B" w:rsidR="00E91EAC" w:rsidRDefault="00937053" w:rsidP="00E91EAC">
            <w:pPr>
              <w:pStyle w:val="TH"/>
              <w:rPr>
                <w:rFonts w:cs="v5.0.0"/>
                <w:lang w:eastAsia="en-GB"/>
              </w:rPr>
            </w:pPr>
            <w:bookmarkStart w:id="14" w:name="_CRTable6_6_2_3_21"/>
            <w:r>
              <w:t xml:space="preserve">TS 36.101 Table </w:t>
            </w:r>
            <w:bookmarkEnd w:id="14"/>
            <w:r w:rsidR="00E91EAC">
              <w:t>6.6.2.3.2-1: Requirements for UTRA</w:t>
            </w:r>
            <w:r w:rsidR="00E91EAC">
              <w:rPr>
                <w:vertAlign w:val="subscript"/>
              </w:rPr>
              <w:t>ACLR1/2</w:t>
            </w:r>
          </w:p>
          <w:tbl>
            <w:tblPr>
              <w:tblW w:w="7818" w:type="dxa"/>
              <w:tblInd w:w="999" w:type="dxa"/>
              <w:tblLook w:val="01E0" w:firstRow="1" w:lastRow="1" w:firstColumn="1" w:lastColumn="1" w:noHBand="0" w:noVBand="0"/>
            </w:tblPr>
            <w:tblGrid>
              <w:gridCol w:w="3140"/>
              <w:gridCol w:w="4678"/>
            </w:tblGrid>
            <w:tr w:rsidR="00E91EAC" w14:paraId="034236CD" w14:textId="77777777" w:rsidTr="003573FB">
              <w:tc>
                <w:tcPr>
                  <w:tcW w:w="2008" w:type="pct"/>
                  <w:vMerge w:val="restart"/>
                  <w:tcBorders>
                    <w:top w:val="single" w:sz="4" w:space="0" w:color="auto"/>
                    <w:left w:val="single" w:sz="4" w:space="0" w:color="auto"/>
                    <w:bottom w:val="single" w:sz="4" w:space="0" w:color="auto"/>
                    <w:right w:val="single" w:sz="4" w:space="0" w:color="auto"/>
                  </w:tcBorders>
                </w:tcPr>
                <w:p w14:paraId="7DE507DE" w14:textId="56BE382B" w:rsidR="00E91EAC" w:rsidRDefault="00E91EAC" w:rsidP="00E91EAC">
                  <w:pPr>
                    <w:pStyle w:val="TAH"/>
                    <w:rPr>
                      <w:rFonts w:cs="Arial"/>
                    </w:rPr>
                  </w:pPr>
                  <w:r>
                    <w:rPr>
                      <w:rFonts w:eastAsiaTheme="minorEastAsia" w:hint="eastAsia"/>
                      <w:lang w:eastAsia="zh-TW"/>
                    </w:rPr>
                    <w:t xml:space="preserve"> </w:t>
                  </w:r>
                  <w:r>
                    <w:rPr>
                      <w:rFonts w:eastAsiaTheme="minorEastAsia"/>
                      <w:lang w:eastAsia="zh-TW"/>
                    </w:rPr>
                    <w:t xml:space="preserve">                                  </w:t>
                  </w:r>
                </w:p>
              </w:tc>
              <w:tc>
                <w:tcPr>
                  <w:tcW w:w="2992" w:type="pct"/>
                  <w:tcBorders>
                    <w:top w:val="single" w:sz="4" w:space="0" w:color="auto"/>
                    <w:left w:val="single" w:sz="4" w:space="0" w:color="auto"/>
                    <w:bottom w:val="single" w:sz="4" w:space="0" w:color="auto"/>
                    <w:right w:val="single" w:sz="4" w:space="0" w:color="auto"/>
                  </w:tcBorders>
                  <w:hideMark/>
                </w:tcPr>
                <w:p w14:paraId="566BDE76" w14:textId="77777777" w:rsidR="00E91EAC" w:rsidRDefault="00E91EAC" w:rsidP="00E91EAC">
                  <w:pPr>
                    <w:pStyle w:val="TAH"/>
                    <w:rPr>
                      <w:rFonts w:cs="Arial"/>
                    </w:rPr>
                  </w:pPr>
                  <w:r>
                    <w:rPr>
                      <w:rFonts w:cs="Arial"/>
                    </w:rPr>
                    <w:t>Channel bandwidth / UTRA</w:t>
                  </w:r>
                  <w:r>
                    <w:rPr>
                      <w:rFonts w:cs="Arial"/>
                      <w:vertAlign w:val="subscript"/>
                    </w:rPr>
                    <w:t xml:space="preserve">ACLR1/2 </w:t>
                  </w:r>
                  <w:r>
                    <w:rPr>
                      <w:rFonts w:cs="Arial"/>
                    </w:rPr>
                    <w:t>/ Measurement bandwidth</w:t>
                  </w:r>
                </w:p>
              </w:tc>
            </w:tr>
            <w:tr w:rsidR="00E91EAC" w14:paraId="6294979D" w14:textId="77777777" w:rsidTr="003573FB">
              <w:tc>
                <w:tcPr>
                  <w:tcW w:w="2008" w:type="pct"/>
                  <w:vMerge/>
                  <w:tcBorders>
                    <w:top w:val="single" w:sz="4" w:space="0" w:color="auto"/>
                    <w:left w:val="single" w:sz="4" w:space="0" w:color="auto"/>
                    <w:bottom w:val="single" w:sz="4" w:space="0" w:color="auto"/>
                    <w:right w:val="single" w:sz="4" w:space="0" w:color="auto"/>
                  </w:tcBorders>
                  <w:vAlign w:val="center"/>
                  <w:hideMark/>
                </w:tcPr>
                <w:p w14:paraId="1E3D1976" w14:textId="77777777" w:rsidR="00E91EAC" w:rsidRDefault="00E91EAC" w:rsidP="00E91EAC">
                  <w:pPr>
                    <w:spacing w:after="0"/>
                    <w:rPr>
                      <w:rFonts w:ascii="Arial" w:hAnsi="Arial" w:cs="Arial"/>
                      <w:b/>
                      <w:sz w:val="18"/>
                    </w:rPr>
                  </w:pPr>
                </w:p>
              </w:tc>
              <w:tc>
                <w:tcPr>
                  <w:tcW w:w="2992" w:type="pct"/>
                  <w:tcBorders>
                    <w:top w:val="single" w:sz="4" w:space="0" w:color="auto"/>
                    <w:left w:val="single" w:sz="4" w:space="0" w:color="auto"/>
                    <w:bottom w:val="single" w:sz="4" w:space="0" w:color="auto"/>
                    <w:right w:val="single" w:sz="4" w:space="0" w:color="auto"/>
                  </w:tcBorders>
                  <w:hideMark/>
                </w:tcPr>
                <w:p w14:paraId="2906862F" w14:textId="77777777" w:rsidR="00E91EAC" w:rsidRDefault="00E91EAC" w:rsidP="00E91EAC">
                  <w:pPr>
                    <w:pStyle w:val="TAH"/>
                    <w:rPr>
                      <w:rFonts w:cs="Arial"/>
                    </w:rPr>
                  </w:pPr>
                  <w:r>
                    <w:rPr>
                      <w:rFonts w:cs="Arial"/>
                    </w:rPr>
                    <w:t>1.4</w:t>
                  </w:r>
                </w:p>
                <w:p w14:paraId="7A567A09" w14:textId="77777777" w:rsidR="00E91EAC" w:rsidRDefault="00E91EAC" w:rsidP="00E91EAC">
                  <w:pPr>
                    <w:pStyle w:val="TAH"/>
                    <w:rPr>
                      <w:rFonts w:cs="Arial"/>
                    </w:rPr>
                  </w:pPr>
                  <w:r>
                    <w:rPr>
                      <w:rFonts w:cs="Arial"/>
                    </w:rPr>
                    <w:t>MHz</w:t>
                  </w:r>
                </w:p>
              </w:tc>
            </w:tr>
            <w:tr w:rsidR="00E91EAC" w14:paraId="5C53EB29" w14:textId="77777777" w:rsidTr="003573FB">
              <w:tc>
                <w:tcPr>
                  <w:tcW w:w="2008" w:type="pct"/>
                  <w:tcBorders>
                    <w:top w:val="single" w:sz="4" w:space="0" w:color="auto"/>
                    <w:left w:val="single" w:sz="4" w:space="0" w:color="auto"/>
                    <w:bottom w:val="single" w:sz="4" w:space="0" w:color="auto"/>
                    <w:right w:val="single" w:sz="4" w:space="0" w:color="auto"/>
                  </w:tcBorders>
                  <w:hideMark/>
                </w:tcPr>
                <w:p w14:paraId="7989550C" w14:textId="77777777" w:rsidR="00E91EAC" w:rsidRDefault="00E91EAC" w:rsidP="00E91EAC">
                  <w:pPr>
                    <w:pStyle w:val="TAC"/>
                    <w:rPr>
                      <w:rFonts w:cs="Arial"/>
                    </w:rPr>
                  </w:pPr>
                  <w:r>
                    <w:rPr>
                      <w:rFonts w:cs="Arial"/>
                    </w:rPr>
                    <w:t>UTRA</w:t>
                  </w:r>
                  <w:r>
                    <w:rPr>
                      <w:rFonts w:cs="Arial"/>
                      <w:vertAlign w:val="subscript"/>
                    </w:rPr>
                    <w:t>ACLR1</w:t>
                  </w:r>
                </w:p>
              </w:tc>
              <w:tc>
                <w:tcPr>
                  <w:tcW w:w="2992" w:type="pct"/>
                  <w:tcBorders>
                    <w:top w:val="single" w:sz="4" w:space="0" w:color="auto"/>
                    <w:left w:val="single" w:sz="4" w:space="0" w:color="auto"/>
                    <w:bottom w:val="single" w:sz="4" w:space="0" w:color="auto"/>
                    <w:right w:val="single" w:sz="4" w:space="0" w:color="auto"/>
                  </w:tcBorders>
                  <w:hideMark/>
                </w:tcPr>
                <w:p w14:paraId="2490A698" w14:textId="77777777" w:rsidR="00E91EAC" w:rsidRDefault="00E91EAC" w:rsidP="00E91EAC">
                  <w:pPr>
                    <w:pStyle w:val="TAC"/>
                    <w:rPr>
                      <w:rFonts w:cs="Arial"/>
                      <w:b/>
                    </w:rPr>
                  </w:pPr>
                  <w:r>
                    <w:rPr>
                      <w:rFonts w:cs="Arial"/>
                    </w:rPr>
                    <w:t>33 dB</w:t>
                  </w:r>
                </w:p>
              </w:tc>
            </w:tr>
            <w:tr w:rsidR="00E91EAC" w14:paraId="110BB2C2" w14:textId="77777777" w:rsidTr="003573FB">
              <w:tc>
                <w:tcPr>
                  <w:tcW w:w="2008" w:type="pct"/>
                  <w:tcBorders>
                    <w:top w:val="single" w:sz="4" w:space="0" w:color="auto"/>
                    <w:left w:val="single" w:sz="4" w:space="0" w:color="auto"/>
                    <w:bottom w:val="single" w:sz="4" w:space="0" w:color="auto"/>
                    <w:right w:val="single" w:sz="4" w:space="0" w:color="auto"/>
                  </w:tcBorders>
                  <w:vAlign w:val="center"/>
                  <w:hideMark/>
                </w:tcPr>
                <w:p w14:paraId="1A716AD9" w14:textId="77777777" w:rsidR="00E91EAC" w:rsidRDefault="00E91EAC" w:rsidP="00E91EAC">
                  <w:pPr>
                    <w:pStyle w:val="TAC"/>
                    <w:rPr>
                      <w:rFonts w:cs="Arial"/>
                      <w:lang w:eastAsia="zh-CN"/>
                    </w:rPr>
                  </w:pPr>
                  <w:r>
                    <w:rPr>
                      <w:rFonts w:cs="v5.0.0"/>
                      <w:lang w:eastAsia="zh-CN"/>
                    </w:rPr>
                    <w:t>A</w:t>
                  </w:r>
                  <w:r>
                    <w:rPr>
                      <w:rFonts w:cs="v5.0.0"/>
                    </w:rPr>
                    <w:t>djacent channel centre frequency offset</w:t>
                  </w:r>
                  <w:r>
                    <w:rPr>
                      <w:rFonts w:cs="v5.0.0"/>
                      <w:lang w:eastAsia="zh-CN"/>
                    </w:rPr>
                    <w:t xml:space="preserve"> [MHz]</w:t>
                  </w:r>
                </w:p>
              </w:tc>
              <w:tc>
                <w:tcPr>
                  <w:tcW w:w="2992" w:type="pct"/>
                  <w:tcBorders>
                    <w:top w:val="single" w:sz="4" w:space="0" w:color="auto"/>
                    <w:left w:val="single" w:sz="4" w:space="0" w:color="auto"/>
                    <w:bottom w:val="single" w:sz="4" w:space="0" w:color="auto"/>
                    <w:right w:val="single" w:sz="4" w:space="0" w:color="auto"/>
                  </w:tcBorders>
                  <w:vAlign w:val="center"/>
                  <w:hideMark/>
                </w:tcPr>
                <w:p w14:paraId="0C1CD057" w14:textId="77777777" w:rsidR="00E91EAC" w:rsidRDefault="00E91EAC" w:rsidP="00E91EAC">
                  <w:pPr>
                    <w:pStyle w:val="TAC"/>
                    <w:rPr>
                      <w:rFonts w:cs="Arial"/>
                      <w:lang w:eastAsia="zh-CN"/>
                    </w:rPr>
                  </w:pPr>
                  <w:r>
                    <w:rPr>
                      <w:rFonts w:cs="Arial"/>
                      <w:lang w:eastAsia="zh-CN"/>
                    </w:rPr>
                    <w:t>0.7+BW</w:t>
                  </w:r>
                  <w:r>
                    <w:rPr>
                      <w:rFonts w:cs="Arial"/>
                      <w:vertAlign w:val="subscript"/>
                      <w:lang w:eastAsia="zh-CN"/>
                    </w:rPr>
                    <w:t>UTRA</w:t>
                  </w:r>
                  <w:r>
                    <w:rPr>
                      <w:rFonts w:cs="Arial"/>
                      <w:lang w:eastAsia="zh-CN"/>
                    </w:rPr>
                    <w:t>/2</w:t>
                  </w:r>
                </w:p>
                <w:p w14:paraId="48715459" w14:textId="77777777" w:rsidR="00E91EAC" w:rsidRDefault="00E91EAC" w:rsidP="00E91EAC">
                  <w:pPr>
                    <w:pStyle w:val="TAC"/>
                    <w:rPr>
                      <w:rFonts w:cs="Arial"/>
                      <w:lang w:eastAsia="zh-CN"/>
                    </w:rPr>
                  </w:pPr>
                  <w:r>
                    <w:rPr>
                      <w:rFonts w:cs="Arial"/>
                      <w:lang w:eastAsia="zh-CN"/>
                    </w:rPr>
                    <w:t>/</w:t>
                  </w:r>
                </w:p>
                <w:p w14:paraId="3EBDC3C2" w14:textId="77777777" w:rsidR="00E91EAC" w:rsidRDefault="00E91EAC" w:rsidP="00E91EAC">
                  <w:pPr>
                    <w:pStyle w:val="TAC"/>
                    <w:rPr>
                      <w:rFonts w:cs="Arial"/>
                    </w:rPr>
                  </w:pPr>
                  <w:r>
                    <w:rPr>
                      <w:rFonts w:cs="Arial"/>
                      <w:lang w:eastAsia="zh-CN"/>
                    </w:rPr>
                    <w:t>-0.7-BW</w:t>
                  </w:r>
                  <w:r>
                    <w:rPr>
                      <w:rFonts w:cs="Arial"/>
                      <w:vertAlign w:val="subscript"/>
                      <w:lang w:eastAsia="zh-CN"/>
                    </w:rPr>
                    <w:t>UTRA</w:t>
                  </w:r>
                  <w:r>
                    <w:rPr>
                      <w:rFonts w:cs="Arial"/>
                      <w:lang w:eastAsia="zh-CN"/>
                    </w:rPr>
                    <w:t>/2</w:t>
                  </w:r>
                </w:p>
              </w:tc>
            </w:tr>
            <w:tr w:rsidR="00E91EAC" w14:paraId="4AE1175F" w14:textId="77777777" w:rsidTr="003573FB">
              <w:tc>
                <w:tcPr>
                  <w:tcW w:w="2008" w:type="pct"/>
                  <w:tcBorders>
                    <w:top w:val="single" w:sz="4" w:space="0" w:color="auto"/>
                    <w:left w:val="single" w:sz="4" w:space="0" w:color="auto"/>
                    <w:bottom w:val="single" w:sz="4" w:space="0" w:color="auto"/>
                    <w:right w:val="single" w:sz="4" w:space="0" w:color="auto"/>
                  </w:tcBorders>
                  <w:vAlign w:val="center"/>
                  <w:hideMark/>
                </w:tcPr>
                <w:p w14:paraId="08D588AF" w14:textId="77777777" w:rsidR="00E91EAC" w:rsidRDefault="00E91EAC" w:rsidP="00E91EAC">
                  <w:pPr>
                    <w:pStyle w:val="TAC"/>
                    <w:rPr>
                      <w:rFonts w:cs="Arial"/>
                    </w:rPr>
                  </w:pPr>
                  <w:r>
                    <w:rPr>
                      <w:rFonts w:cs="Arial"/>
                    </w:rPr>
                    <w:t>UTRA</w:t>
                  </w:r>
                  <w:r>
                    <w:rPr>
                      <w:rFonts w:cs="Arial"/>
                      <w:vertAlign w:val="subscript"/>
                    </w:rPr>
                    <w:t>ACLR2</w:t>
                  </w:r>
                </w:p>
              </w:tc>
              <w:tc>
                <w:tcPr>
                  <w:tcW w:w="2992" w:type="pct"/>
                  <w:tcBorders>
                    <w:top w:val="single" w:sz="4" w:space="0" w:color="auto"/>
                    <w:left w:val="single" w:sz="4" w:space="0" w:color="auto"/>
                    <w:bottom w:val="single" w:sz="4" w:space="0" w:color="auto"/>
                    <w:right w:val="single" w:sz="4" w:space="0" w:color="auto"/>
                  </w:tcBorders>
                  <w:vAlign w:val="center"/>
                  <w:hideMark/>
                </w:tcPr>
                <w:p w14:paraId="02E94AA4" w14:textId="77777777" w:rsidR="00E91EAC" w:rsidRDefault="00E91EAC" w:rsidP="00E91EAC">
                  <w:pPr>
                    <w:pStyle w:val="TAC"/>
                    <w:rPr>
                      <w:rFonts w:cs="Arial"/>
                    </w:rPr>
                  </w:pPr>
                  <w:r>
                    <w:rPr>
                      <w:rFonts w:cs="Arial"/>
                    </w:rPr>
                    <w:t>-</w:t>
                  </w:r>
                </w:p>
              </w:tc>
            </w:tr>
            <w:tr w:rsidR="00E91EAC" w14:paraId="2C488152" w14:textId="77777777" w:rsidTr="003573FB">
              <w:trPr>
                <w:trHeight w:val="539"/>
              </w:trPr>
              <w:tc>
                <w:tcPr>
                  <w:tcW w:w="2008" w:type="pct"/>
                  <w:tcBorders>
                    <w:top w:val="single" w:sz="4" w:space="0" w:color="auto"/>
                    <w:left w:val="single" w:sz="4" w:space="0" w:color="auto"/>
                    <w:bottom w:val="single" w:sz="4" w:space="0" w:color="auto"/>
                    <w:right w:val="single" w:sz="4" w:space="0" w:color="auto"/>
                  </w:tcBorders>
                  <w:vAlign w:val="center"/>
                  <w:hideMark/>
                </w:tcPr>
                <w:p w14:paraId="384A6E48" w14:textId="77777777" w:rsidR="00E91EAC" w:rsidRDefault="00E91EAC" w:rsidP="00E91EAC">
                  <w:pPr>
                    <w:pStyle w:val="TAC"/>
                    <w:rPr>
                      <w:rFonts w:cs="Arial"/>
                      <w:lang w:eastAsia="zh-CN"/>
                    </w:rPr>
                  </w:pPr>
                  <w:r>
                    <w:rPr>
                      <w:rFonts w:cs="Arial"/>
                      <w:lang w:eastAsia="zh-CN"/>
                    </w:rPr>
                    <w:t>A</w:t>
                  </w:r>
                  <w:r>
                    <w:rPr>
                      <w:rFonts w:cs="Arial"/>
                    </w:rPr>
                    <w:t>djacent channel centre frequency offset</w:t>
                  </w:r>
                  <w:r>
                    <w:rPr>
                      <w:rFonts w:cs="Arial"/>
                      <w:lang w:eastAsia="zh-CN"/>
                    </w:rPr>
                    <w:t xml:space="preserve"> [MHz]</w:t>
                  </w:r>
                </w:p>
              </w:tc>
              <w:tc>
                <w:tcPr>
                  <w:tcW w:w="2992" w:type="pct"/>
                  <w:tcBorders>
                    <w:top w:val="single" w:sz="4" w:space="0" w:color="auto"/>
                    <w:left w:val="single" w:sz="4" w:space="0" w:color="auto"/>
                    <w:bottom w:val="single" w:sz="4" w:space="0" w:color="auto"/>
                    <w:right w:val="single" w:sz="4" w:space="0" w:color="auto"/>
                  </w:tcBorders>
                  <w:vAlign w:val="center"/>
                  <w:hideMark/>
                </w:tcPr>
                <w:p w14:paraId="1A7597AD" w14:textId="77777777" w:rsidR="00E91EAC" w:rsidRDefault="00E91EAC" w:rsidP="00E91EAC">
                  <w:pPr>
                    <w:pStyle w:val="TAC"/>
                    <w:rPr>
                      <w:rFonts w:cs="Arial"/>
                    </w:rPr>
                  </w:pPr>
                  <w:r>
                    <w:rPr>
                      <w:rFonts w:cs="Arial"/>
                      <w:lang w:eastAsia="zh-CN"/>
                    </w:rPr>
                    <w:t>-</w:t>
                  </w:r>
                </w:p>
              </w:tc>
            </w:tr>
            <w:tr w:rsidR="00E91EAC" w14:paraId="65328C84" w14:textId="77777777" w:rsidTr="003573FB">
              <w:tc>
                <w:tcPr>
                  <w:tcW w:w="2008" w:type="pct"/>
                  <w:tcBorders>
                    <w:top w:val="single" w:sz="4" w:space="0" w:color="auto"/>
                    <w:left w:val="single" w:sz="4" w:space="0" w:color="auto"/>
                    <w:bottom w:val="single" w:sz="4" w:space="0" w:color="auto"/>
                    <w:right w:val="single" w:sz="4" w:space="0" w:color="auto"/>
                  </w:tcBorders>
                  <w:vAlign w:val="center"/>
                  <w:hideMark/>
                </w:tcPr>
                <w:p w14:paraId="7495E67A" w14:textId="77777777" w:rsidR="00E91EAC" w:rsidRDefault="00E91EAC" w:rsidP="00E91EAC">
                  <w:pPr>
                    <w:pStyle w:val="TAC"/>
                    <w:rPr>
                      <w:rFonts w:cs="Arial"/>
                    </w:rPr>
                  </w:pPr>
                  <w:r>
                    <w:rPr>
                      <w:rFonts w:cs="Arial"/>
                    </w:rPr>
                    <w:t>E-UTRA</w:t>
                  </w:r>
                  <w:r>
                    <w:rPr>
                      <w:rFonts w:cs="Arial"/>
                      <w:vertAlign w:val="subscript"/>
                    </w:rPr>
                    <w:t xml:space="preserve"> </w:t>
                  </w:r>
                  <w:r>
                    <w:rPr>
                      <w:rFonts w:cs="Arial"/>
                    </w:rPr>
                    <w:t>channel Measurement bandwidth</w:t>
                  </w:r>
                </w:p>
              </w:tc>
              <w:tc>
                <w:tcPr>
                  <w:tcW w:w="2992" w:type="pct"/>
                  <w:tcBorders>
                    <w:top w:val="single" w:sz="4" w:space="0" w:color="auto"/>
                    <w:left w:val="single" w:sz="4" w:space="0" w:color="auto"/>
                    <w:bottom w:val="single" w:sz="4" w:space="0" w:color="auto"/>
                    <w:right w:val="single" w:sz="4" w:space="0" w:color="auto"/>
                  </w:tcBorders>
                  <w:vAlign w:val="center"/>
                  <w:hideMark/>
                </w:tcPr>
                <w:p w14:paraId="35B7BF4C" w14:textId="77777777" w:rsidR="00E91EAC" w:rsidRDefault="00E91EAC" w:rsidP="00E91EAC">
                  <w:pPr>
                    <w:pStyle w:val="TAC"/>
                    <w:rPr>
                      <w:rFonts w:cs="Arial"/>
                    </w:rPr>
                  </w:pPr>
                  <w:r>
                    <w:rPr>
                      <w:rFonts w:cs="Arial"/>
                      <w:lang w:eastAsia="zh-CN"/>
                    </w:rPr>
                    <w:t>1.08 MHz</w:t>
                  </w:r>
                </w:p>
              </w:tc>
            </w:tr>
            <w:tr w:rsidR="00E91EAC" w14:paraId="49F7C96E" w14:textId="77777777" w:rsidTr="003573FB">
              <w:tc>
                <w:tcPr>
                  <w:tcW w:w="2008" w:type="pct"/>
                  <w:tcBorders>
                    <w:top w:val="single" w:sz="4" w:space="0" w:color="auto"/>
                    <w:left w:val="single" w:sz="4" w:space="0" w:color="auto"/>
                    <w:bottom w:val="single" w:sz="4" w:space="0" w:color="auto"/>
                    <w:right w:val="single" w:sz="4" w:space="0" w:color="auto"/>
                  </w:tcBorders>
                  <w:vAlign w:val="center"/>
                  <w:hideMark/>
                </w:tcPr>
                <w:p w14:paraId="0AAC6741" w14:textId="5E1D0C5F" w:rsidR="00E91EAC" w:rsidRDefault="00E91EAC" w:rsidP="003573FB">
                  <w:pPr>
                    <w:pStyle w:val="TAC"/>
                    <w:rPr>
                      <w:rFonts w:cs="Arial"/>
                    </w:rPr>
                  </w:pPr>
                  <w:r>
                    <w:rPr>
                      <w:rFonts w:cs="Arial"/>
                    </w:rPr>
                    <w:t xml:space="preserve">UTRA </w:t>
                  </w:r>
                  <w:r>
                    <w:rPr>
                      <w:rFonts w:cs="Arial"/>
                      <w:lang w:eastAsia="zh-CN"/>
                    </w:rPr>
                    <w:t xml:space="preserve">5MHz </w:t>
                  </w:r>
                  <w:r>
                    <w:rPr>
                      <w:rFonts w:cs="Arial"/>
                    </w:rPr>
                    <w:t>channel Measurement bandwidth</w:t>
                  </w:r>
                  <w:r w:rsidR="003573FB">
                    <w:rPr>
                      <w:rFonts w:cs="Arial"/>
                    </w:rPr>
                    <w:t xml:space="preserve"> </w:t>
                  </w:r>
                  <w:r>
                    <w:rPr>
                      <w:rFonts w:cs="Arial"/>
                    </w:rPr>
                    <w:t>(NOTE 1</w:t>
                  </w:r>
                  <w:r>
                    <w:rPr>
                      <w:rFonts w:cs="Arial"/>
                      <w:lang w:eastAsia="zh-CN"/>
                    </w:rPr>
                    <w:t>)</w:t>
                  </w:r>
                </w:p>
              </w:tc>
              <w:tc>
                <w:tcPr>
                  <w:tcW w:w="2992" w:type="pct"/>
                  <w:tcBorders>
                    <w:top w:val="single" w:sz="4" w:space="0" w:color="auto"/>
                    <w:left w:val="single" w:sz="4" w:space="0" w:color="auto"/>
                    <w:bottom w:val="single" w:sz="4" w:space="0" w:color="auto"/>
                    <w:right w:val="single" w:sz="4" w:space="0" w:color="auto"/>
                  </w:tcBorders>
                  <w:vAlign w:val="center"/>
                  <w:hideMark/>
                </w:tcPr>
                <w:p w14:paraId="1301DFEA" w14:textId="77777777" w:rsidR="00E91EAC" w:rsidRDefault="00E91EAC" w:rsidP="00E91EAC">
                  <w:pPr>
                    <w:pStyle w:val="TAC"/>
                    <w:rPr>
                      <w:rFonts w:cs="Arial"/>
                    </w:rPr>
                  </w:pPr>
                  <w:r>
                    <w:rPr>
                      <w:rFonts w:cs="Arial"/>
                    </w:rPr>
                    <w:t>3.84 MHz</w:t>
                  </w:r>
                </w:p>
              </w:tc>
            </w:tr>
            <w:tr w:rsidR="00E91EAC" w14:paraId="2EB6EE87" w14:textId="77777777" w:rsidTr="003573FB">
              <w:tc>
                <w:tcPr>
                  <w:tcW w:w="2008" w:type="pct"/>
                  <w:tcBorders>
                    <w:top w:val="single" w:sz="4" w:space="0" w:color="auto"/>
                    <w:left w:val="single" w:sz="4" w:space="0" w:color="auto"/>
                    <w:bottom w:val="single" w:sz="4" w:space="0" w:color="auto"/>
                    <w:right w:val="single" w:sz="4" w:space="0" w:color="auto"/>
                  </w:tcBorders>
                  <w:vAlign w:val="center"/>
                  <w:hideMark/>
                </w:tcPr>
                <w:p w14:paraId="4C517A64" w14:textId="6D9A1293" w:rsidR="00E91EAC" w:rsidRDefault="00E91EAC" w:rsidP="003573FB">
                  <w:pPr>
                    <w:pStyle w:val="TAC"/>
                    <w:rPr>
                      <w:rFonts w:cs="Arial"/>
                      <w:lang w:eastAsia="zh-CN"/>
                    </w:rPr>
                  </w:pPr>
                  <w:r>
                    <w:rPr>
                      <w:rFonts w:cs="Arial"/>
                      <w:lang w:eastAsia="zh-CN"/>
                    </w:rPr>
                    <w:t>UTRA 1.6MHz channel measurement bandwidth</w:t>
                  </w:r>
                  <w:r w:rsidR="003573FB">
                    <w:rPr>
                      <w:rFonts w:cs="Arial"/>
                      <w:lang w:eastAsia="zh-CN"/>
                    </w:rPr>
                    <w:t xml:space="preserve"> </w:t>
                  </w:r>
                  <w:r>
                    <w:rPr>
                      <w:rFonts w:cs="Arial"/>
                      <w:lang w:eastAsia="zh-CN"/>
                    </w:rPr>
                    <w:t>(NOTE 2)</w:t>
                  </w:r>
                </w:p>
              </w:tc>
              <w:tc>
                <w:tcPr>
                  <w:tcW w:w="2992" w:type="pct"/>
                  <w:tcBorders>
                    <w:top w:val="single" w:sz="4" w:space="0" w:color="auto"/>
                    <w:left w:val="single" w:sz="4" w:space="0" w:color="auto"/>
                    <w:bottom w:val="single" w:sz="4" w:space="0" w:color="auto"/>
                    <w:right w:val="single" w:sz="4" w:space="0" w:color="auto"/>
                  </w:tcBorders>
                  <w:vAlign w:val="center"/>
                  <w:hideMark/>
                </w:tcPr>
                <w:p w14:paraId="6CD1264B" w14:textId="77777777" w:rsidR="00E91EAC" w:rsidRDefault="00E91EAC" w:rsidP="00E91EAC">
                  <w:pPr>
                    <w:pStyle w:val="TAC"/>
                    <w:rPr>
                      <w:rFonts w:cs="Arial"/>
                      <w:lang w:eastAsia="zh-CN"/>
                    </w:rPr>
                  </w:pPr>
                  <w:r>
                    <w:rPr>
                      <w:rFonts w:cs="Arial"/>
                      <w:lang w:eastAsia="zh-CN"/>
                    </w:rPr>
                    <w:t>1.28 MHz</w:t>
                  </w:r>
                </w:p>
              </w:tc>
            </w:tr>
          </w:tbl>
          <w:p w14:paraId="3BF6BEA1" w14:textId="77777777" w:rsidR="00E91EAC" w:rsidRDefault="00E91EAC" w:rsidP="00AA6B3C">
            <w:pPr>
              <w:rPr>
                <w:rFonts w:eastAsia="新細明體"/>
                <w:lang w:eastAsia="zh-TW"/>
              </w:rPr>
            </w:pPr>
          </w:p>
        </w:tc>
      </w:tr>
    </w:tbl>
    <w:p w14:paraId="0B393F45" w14:textId="77777777" w:rsidR="00E91EAC" w:rsidRDefault="00E91EAC" w:rsidP="00AA6B3C">
      <w:pPr>
        <w:rPr>
          <w:rFonts w:eastAsia="新細明體"/>
          <w:lang w:eastAsia="zh-TW"/>
        </w:rPr>
      </w:pPr>
    </w:p>
    <w:tbl>
      <w:tblPr>
        <w:tblStyle w:val="afb"/>
        <w:tblW w:w="0" w:type="auto"/>
        <w:tblLook w:val="04A0" w:firstRow="1" w:lastRow="0" w:firstColumn="1" w:lastColumn="0" w:noHBand="0" w:noVBand="1"/>
      </w:tblPr>
      <w:tblGrid>
        <w:gridCol w:w="9629"/>
      </w:tblGrid>
      <w:tr w:rsidR="00BC5C2A" w14:paraId="5E46F4DA" w14:textId="77777777" w:rsidTr="00BE36C9">
        <w:trPr>
          <w:trHeight w:val="4607"/>
        </w:trPr>
        <w:tc>
          <w:tcPr>
            <w:tcW w:w="9629" w:type="dxa"/>
          </w:tcPr>
          <w:p w14:paraId="4C850481" w14:textId="0D263416" w:rsidR="00BC5C2A" w:rsidRDefault="00BC5C2A" w:rsidP="00BC5C2A">
            <w:pPr>
              <w:pStyle w:val="TH"/>
              <w:rPr>
                <w:lang w:eastAsia="en-GB"/>
              </w:rPr>
            </w:pPr>
            <w:bookmarkStart w:id="15" w:name="_CRTable6_6_2F_31"/>
            <w:r>
              <w:t xml:space="preserve">TS 36.101 Table </w:t>
            </w:r>
            <w:bookmarkEnd w:id="15"/>
            <w:r>
              <w:t>6.6.2F.3-1: category NB1 and NB2 UE ACLR requirements</w:t>
            </w:r>
          </w:p>
          <w:tbl>
            <w:tblPr>
              <w:tblW w:w="6197" w:type="dxa"/>
              <w:jc w:val="center"/>
              <w:tblLook w:val="04A0" w:firstRow="1" w:lastRow="0" w:firstColumn="1" w:lastColumn="0" w:noHBand="0" w:noVBand="1"/>
            </w:tblPr>
            <w:tblGrid>
              <w:gridCol w:w="2866"/>
              <w:gridCol w:w="1187"/>
              <w:gridCol w:w="2246"/>
            </w:tblGrid>
            <w:tr w:rsidR="00BE36C9" w14:paraId="7D5330AD" w14:textId="77777777" w:rsidTr="00BE36C9">
              <w:trPr>
                <w:trHeight w:val="288"/>
                <w:jc w:val="center"/>
              </w:trPr>
              <w:tc>
                <w:tcPr>
                  <w:tcW w:w="2866" w:type="dxa"/>
                  <w:tcBorders>
                    <w:top w:val="single" w:sz="4" w:space="0" w:color="auto"/>
                    <w:left w:val="single" w:sz="4" w:space="0" w:color="auto"/>
                    <w:bottom w:val="single" w:sz="4" w:space="0" w:color="auto"/>
                    <w:right w:val="single" w:sz="4" w:space="0" w:color="auto"/>
                  </w:tcBorders>
                  <w:noWrap/>
                  <w:vAlign w:val="center"/>
                  <w:hideMark/>
                </w:tcPr>
                <w:p w14:paraId="6C7F966E" w14:textId="77777777" w:rsidR="00BE36C9" w:rsidRDefault="00BE36C9" w:rsidP="00BE36C9">
                  <w:pPr>
                    <w:spacing w:after="0"/>
                    <w:rPr>
                      <w:lang w:val="en-US" w:eastAsia="zh-TW"/>
                    </w:rPr>
                  </w:pPr>
                </w:p>
              </w:tc>
              <w:tc>
                <w:tcPr>
                  <w:tcW w:w="1085" w:type="dxa"/>
                  <w:tcBorders>
                    <w:top w:val="single" w:sz="4" w:space="0" w:color="auto"/>
                    <w:left w:val="nil"/>
                    <w:bottom w:val="single" w:sz="4" w:space="0" w:color="auto"/>
                    <w:right w:val="single" w:sz="4" w:space="0" w:color="auto"/>
                  </w:tcBorders>
                  <w:noWrap/>
                  <w:vAlign w:val="center"/>
                  <w:hideMark/>
                </w:tcPr>
                <w:p w14:paraId="75BAE674" w14:textId="77777777" w:rsidR="00BE36C9" w:rsidRDefault="00BE36C9" w:rsidP="00BE36C9">
                  <w:pPr>
                    <w:pStyle w:val="TAH"/>
                    <w:rPr>
                      <w:rFonts w:eastAsia="Times New Roman" w:cs="Arial"/>
                      <w:bCs/>
                      <w:lang w:val="en-US" w:eastAsia="ja-JP"/>
                    </w:rPr>
                  </w:pPr>
                  <w:r>
                    <w:rPr>
                      <w:rFonts w:cs="Arial"/>
                      <w:bCs/>
                      <w:lang w:eastAsia="ja-JP"/>
                    </w:rPr>
                    <w:t>GSM</w:t>
                  </w:r>
                  <w:r>
                    <w:rPr>
                      <w:rFonts w:cs="Arial"/>
                      <w:bCs/>
                      <w:vertAlign w:val="subscript"/>
                      <w:lang w:val="en-US" w:eastAsia="ja-JP"/>
                    </w:rPr>
                    <w:t>ACLR</w:t>
                  </w:r>
                </w:p>
              </w:tc>
              <w:tc>
                <w:tcPr>
                  <w:tcW w:w="2246" w:type="dxa"/>
                  <w:tcBorders>
                    <w:top w:val="single" w:sz="4" w:space="0" w:color="auto"/>
                    <w:left w:val="nil"/>
                    <w:bottom w:val="single" w:sz="4" w:space="0" w:color="auto"/>
                    <w:right w:val="single" w:sz="4" w:space="0" w:color="auto"/>
                  </w:tcBorders>
                  <w:noWrap/>
                  <w:vAlign w:val="center"/>
                  <w:hideMark/>
                </w:tcPr>
                <w:p w14:paraId="1E27F0F2" w14:textId="77777777" w:rsidR="00BE36C9" w:rsidRDefault="00BE36C9" w:rsidP="00BE36C9">
                  <w:pPr>
                    <w:pStyle w:val="TAH"/>
                    <w:rPr>
                      <w:rFonts w:cs="Arial"/>
                      <w:bCs/>
                      <w:lang w:eastAsia="ja-JP"/>
                    </w:rPr>
                  </w:pPr>
                  <w:bookmarkStart w:id="16" w:name="OLE_LINK77"/>
                  <w:r>
                    <w:rPr>
                      <w:rFonts w:cs="Arial"/>
                      <w:bCs/>
                      <w:lang w:eastAsia="ja-JP"/>
                    </w:rPr>
                    <w:t>UTRA</w:t>
                  </w:r>
                  <w:bookmarkEnd w:id="16"/>
                  <w:r>
                    <w:rPr>
                      <w:rFonts w:cs="Arial"/>
                      <w:bCs/>
                      <w:vertAlign w:val="subscript"/>
                      <w:lang w:val="en-US" w:eastAsia="ja-JP"/>
                    </w:rPr>
                    <w:t>ACLR</w:t>
                  </w:r>
                </w:p>
              </w:tc>
            </w:tr>
            <w:tr w:rsidR="00BE36C9" w14:paraId="7708B8BE" w14:textId="77777777" w:rsidTr="00BE36C9">
              <w:trPr>
                <w:trHeight w:val="288"/>
                <w:jc w:val="center"/>
              </w:trPr>
              <w:tc>
                <w:tcPr>
                  <w:tcW w:w="2866" w:type="dxa"/>
                  <w:tcBorders>
                    <w:top w:val="nil"/>
                    <w:left w:val="single" w:sz="4" w:space="0" w:color="auto"/>
                    <w:bottom w:val="single" w:sz="4" w:space="0" w:color="auto"/>
                    <w:right w:val="single" w:sz="4" w:space="0" w:color="auto"/>
                  </w:tcBorders>
                  <w:noWrap/>
                  <w:vAlign w:val="center"/>
                  <w:hideMark/>
                </w:tcPr>
                <w:p w14:paraId="7B7F68F6" w14:textId="77777777" w:rsidR="00BE36C9" w:rsidRDefault="00BE36C9" w:rsidP="00BE36C9">
                  <w:pPr>
                    <w:pStyle w:val="TAH"/>
                    <w:rPr>
                      <w:rFonts w:cs="Arial"/>
                      <w:lang w:eastAsia="ja-JP"/>
                    </w:rPr>
                  </w:pPr>
                  <w:r>
                    <w:rPr>
                      <w:rFonts w:cs="Arial"/>
                      <w:lang w:eastAsia="ja-JP"/>
                    </w:rPr>
                    <w:t>ACLR</w:t>
                  </w:r>
                </w:p>
              </w:tc>
              <w:tc>
                <w:tcPr>
                  <w:tcW w:w="1085" w:type="dxa"/>
                  <w:tcBorders>
                    <w:top w:val="nil"/>
                    <w:left w:val="nil"/>
                    <w:bottom w:val="single" w:sz="4" w:space="0" w:color="auto"/>
                    <w:right w:val="single" w:sz="4" w:space="0" w:color="auto"/>
                  </w:tcBorders>
                  <w:noWrap/>
                  <w:vAlign w:val="center"/>
                  <w:hideMark/>
                </w:tcPr>
                <w:p w14:paraId="61EA98FB" w14:textId="77777777" w:rsidR="00BE36C9" w:rsidRDefault="00BE36C9" w:rsidP="00BE36C9">
                  <w:pPr>
                    <w:pStyle w:val="TAC"/>
                    <w:rPr>
                      <w:rFonts w:cs="Arial"/>
                      <w:lang w:eastAsia="ja-JP"/>
                    </w:rPr>
                  </w:pPr>
                  <w:r>
                    <w:rPr>
                      <w:rFonts w:cs="Arial"/>
                      <w:lang w:eastAsia="ja-JP"/>
                    </w:rPr>
                    <w:t>20 dB</w:t>
                  </w:r>
                </w:p>
              </w:tc>
              <w:tc>
                <w:tcPr>
                  <w:tcW w:w="2246" w:type="dxa"/>
                  <w:tcBorders>
                    <w:top w:val="nil"/>
                    <w:left w:val="nil"/>
                    <w:bottom w:val="single" w:sz="4" w:space="0" w:color="auto"/>
                    <w:right w:val="single" w:sz="4" w:space="0" w:color="auto"/>
                  </w:tcBorders>
                  <w:noWrap/>
                  <w:vAlign w:val="center"/>
                  <w:hideMark/>
                </w:tcPr>
                <w:p w14:paraId="7FFBB982" w14:textId="77777777" w:rsidR="00BE36C9" w:rsidRDefault="00BE36C9" w:rsidP="00BE36C9">
                  <w:pPr>
                    <w:pStyle w:val="TAC"/>
                    <w:rPr>
                      <w:rFonts w:cs="Arial"/>
                      <w:lang w:eastAsia="ja-JP"/>
                    </w:rPr>
                  </w:pPr>
                  <w:r>
                    <w:rPr>
                      <w:rFonts w:cs="Arial"/>
                      <w:lang w:eastAsia="ja-JP"/>
                    </w:rPr>
                    <w:t>37 dB</w:t>
                  </w:r>
                </w:p>
              </w:tc>
            </w:tr>
            <w:tr w:rsidR="00BE36C9" w14:paraId="36C506C2" w14:textId="77777777" w:rsidTr="00BE36C9">
              <w:trPr>
                <w:trHeight w:val="288"/>
                <w:jc w:val="center"/>
              </w:trPr>
              <w:tc>
                <w:tcPr>
                  <w:tcW w:w="2866" w:type="dxa"/>
                  <w:tcBorders>
                    <w:top w:val="nil"/>
                    <w:left w:val="single" w:sz="4" w:space="0" w:color="auto"/>
                    <w:bottom w:val="single" w:sz="4" w:space="0" w:color="auto"/>
                    <w:right w:val="single" w:sz="4" w:space="0" w:color="auto"/>
                  </w:tcBorders>
                  <w:noWrap/>
                  <w:vAlign w:val="center"/>
                  <w:hideMark/>
                </w:tcPr>
                <w:p w14:paraId="24A44F6E" w14:textId="77777777" w:rsidR="00BE36C9" w:rsidRDefault="00BE36C9" w:rsidP="00BE36C9">
                  <w:pPr>
                    <w:pStyle w:val="TAH"/>
                    <w:rPr>
                      <w:rFonts w:cs="Arial"/>
                      <w:lang w:eastAsia="ja-JP"/>
                    </w:rPr>
                  </w:pPr>
                  <w:r>
                    <w:rPr>
                      <w:rFonts w:cs="Arial"/>
                      <w:lang w:eastAsia="ja-JP"/>
                    </w:rPr>
                    <w:t>Adjacent channel</w:t>
                  </w:r>
                  <w:r>
                    <w:rPr>
                      <w:rFonts w:cs="Arial"/>
                      <w:lang w:eastAsia="ja-JP"/>
                    </w:rPr>
                    <w:br/>
                    <w:t xml:space="preserve"> </w:t>
                  </w:r>
                  <w:proofErr w:type="spellStart"/>
                  <w:r>
                    <w:rPr>
                      <w:rFonts w:cs="Arial"/>
                      <w:lang w:eastAsia="ja-JP"/>
                    </w:rPr>
                    <w:t>center</w:t>
                  </w:r>
                  <w:proofErr w:type="spellEnd"/>
                  <w:r>
                    <w:rPr>
                      <w:rFonts w:cs="Arial"/>
                      <w:lang w:eastAsia="ja-JP"/>
                    </w:rPr>
                    <w:t xml:space="preserve"> frequency offset</w:t>
                  </w:r>
                  <w:r>
                    <w:rPr>
                      <w:rFonts w:cs="Arial"/>
                      <w:lang w:eastAsia="ja-JP"/>
                    </w:rPr>
                    <w:br/>
                    <w:t xml:space="preserve">from category NB1 </w:t>
                  </w:r>
                  <w:r>
                    <w:rPr>
                      <w:rFonts w:cs="Arial"/>
                      <w:lang w:eastAsia="zh-CN"/>
                    </w:rPr>
                    <w:t>or</w:t>
                  </w:r>
                  <w:r>
                    <w:rPr>
                      <w:rFonts w:cs="Arial"/>
                      <w:lang w:eastAsia="ja-JP"/>
                    </w:rPr>
                    <w:t xml:space="preserve"> NB2 Channel edge</w:t>
                  </w:r>
                </w:p>
              </w:tc>
              <w:tc>
                <w:tcPr>
                  <w:tcW w:w="1085" w:type="dxa"/>
                  <w:tcBorders>
                    <w:top w:val="nil"/>
                    <w:left w:val="nil"/>
                    <w:bottom w:val="single" w:sz="4" w:space="0" w:color="auto"/>
                    <w:right w:val="single" w:sz="4" w:space="0" w:color="auto"/>
                  </w:tcBorders>
                  <w:noWrap/>
                  <w:vAlign w:val="center"/>
                  <w:hideMark/>
                </w:tcPr>
                <w:p w14:paraId="4E87F2EC" w14:textId="77777777" w:rsidR="00BE36C9" w:rsidRDefault="00BE36C9" w:rsidP="00BE36C9">
                  <w:pPr>
                    <w:pStyle w:val="TAC"/>
                    <w:rPr>
                      <w:rFonts w:cs="Arial"/>
                      <w:lang w:eastAsia="ja-JP"/>
                    </w:rPr>
                  </w:pPr>
                  <w:r>
                    <w:rPr>
                      <w:rFonts w:cs="Arial"/>
                      <w:lang w:eastAsia="ja-JP"/>
                    </w:rPr>
                    <w:t>±200 kHz</w:t>
                  </w:r>
                </w:p>
              </w:tc>
              <w:tc>
                <w:tcPr>
                  <w:tcW w:w="2246" w:type="dxa"/>
                  <w:tcBorders>
                    <w:top w:val="nil"/>
                    <w:left w:val="nil"/>
                    <w:bottom w:val="single" w:sz="4" w:space="0" w:color="auto"/>
                    <w:right w:val="single" w:sz="4" w:space="0" w:color="auto"/>
                  </w:tcBorders>
                  <w:noWrap/>
                  <w:vAlign w:val="center"/>
                  <w:hideMark/>
                </w:tcPr>
                <w:p w14:paraId="507F17E8" w14:textId="77777777" w:rsidR="00BE36C9" w:rsidRDefault="00BE36C9" w:rsidP="00BE36C9">
                  <w:pPr>
                    <w:pStyle w:val="TAC"/>
                    <w:rPr>
                      <w:rFonts w:cs="Arial"/>
                      <w:lang w:eastAsia="ja-JP"/>
                    </w:rPr>
                  </w:pPr>
                  <w:r>
                    <w:rPr>
                      <w:rFonts w:cs="Arial"/>
                      <w:lang w:eastAsia="ja-JP"/>
                    </w:rPr>
                    <w:t>±2.5 MHz</w:t>
                  </w:r>
                </w:p>
              </w:tc>
            </w:tr>
            <w:tr w:rsidR="00BE36C9" w14:paraId="69184729" w14:textId="77777777" w:rsidTr="00BE36C9">
              <w:trPr>
                <w:trHeight w:val="576"/>
                <w:jc w:val="center"/>
              </w:trPr>
              <w:tc>
                <w:tcPr>
                  <w:tcW w:w="2866" w:type="dxa"/>
                  <w:tcBorders>
                    <w:top w:val="nil"/>
                    <w:left w:val="single" w:sz="4" w:space="0" w:color="auto"/>
                    <w:bottom w:val="single" w:sz="4" w:space="0" w:color="auto"/>
                    <w:right w:val="single" w:sz="4" w:space="0" w:color="auto"/>
                  </w:tcBorders>
                  <w:vAlign w:val="center"/>
                  <w:hideMark/>
                </w:tcPr>
                <w:p w14:paraId="3FA11466" w14:textId="77777777" w:rsidR="00BE36C9" w:rsidRDefault="00BE36C9" w:rsidP="00BE36C9">
                  <w:pPr>
                    <w:pStyle w:val="TAH"/>
                    <w:rPr>
                      <w:rFonts w:cs="Arial"/>
                      <w:lang w:eastAsia="ja-JP"/>
                    </w:rPr>
                  </w:pPr>
                  <w:r>
                    <w:rPr>
                      <w:rFonts w:cs="Arial"/>
                      <w:lang w:eastAsia="ja-JP"/>
                    </w:rPr>
                    <w:t>Adjacent channel</w:t>
                  </w:r>
                  <w:r>
                    <w:rPr>
                      <w:rFonts w:cs="Arial"/>
                      <w:lang w:eastAsia="ja-JP"/>
                    </w:rPr>
                    <w:br/>
                    <w:t>measurement bandwidth</w:t>
                  </w:r>
                </w:p>
              </w:tc>
              <w:tc>
                <w:tcPr>
                  <w:tcW w:w="1085" w:type="dxa"/>
                  <w:tcBorders>
                    <w:top w:val="nil"/>
                    <w:left w:val="nil"/>
                    <w:bottom w:val="single" w:sz="4" w:space="0" w:color="auto"/>
                    <w:right w:val="single" w:sz="4" w:space="0" w:color="auto"/>
                  </w:tcBorders>
                  <w:noWrap/>
                  <w:vAlign w:val="center"/>
                  <w:hideMark/>
                </w:tcPr>
                <w:p w14:paraId="21985151" w14:textId="77777777" w:rsidR="00BE36C9" w:rsidRDefault="00BE36C9" w:rsidP="00BE36C9">
                  <w:pPr>
                    <w:pStyle w:val="TAC"/>
                    <w:rPr>
                      <w:rFonts w:cs="Arial"/>
                      <w:lang w:eastAsia="ja-JP"/>
                    </w:rPr>
                  </w:pPr>
                  <w:r>
                    <w:rPr>
                      <w:rFonts w:cs="Arial"/>
                      <w:lang w:eastAsia="ja-JP"/>
                    </w:rPr>
                    <w:t>180 kHz</w:t>
                  </w:r>
                </w:p>
              </w:tc>
              <w:tc>
                <w:tcPr>
                  <w:tcW w:w="2246" w:type="dxa"/>
                  <w:tcBorders>
                    <w:top w:val="nil"/>
                    <w:left w:val="nil"/>
                    <w:bottom w:val="single" w:sz="4" w:space="0" w:color="auto"/>
                    <w:right w:val="single" w:sz="4" w:space="0" w:color="auto"/>
                  </w:tcBorders>
                  <w:noWrap/>
                  <w:vAlign w:val="center"/>
                  <w:hideMark/>
                </w:tcPr>
                <w:p w14:paraId="6B74561B" w14:textId="77777777" w:rsidR="00BE36C9" w:rsidRDefault="00BE36C9" w:rsidP="00BE36C9">
                  <w:pPr>
                    <w:pStyle w:val="TAC"/>
                    <w:rPr>
                      <w:rFonts w:cs="Arial"/>
                      <w:lang w:eastAsia="ja-JP"/>
                    </w:rPr>
                  </w:pPr>
                  <w:r>
                    <w:rPr>
                      <w:rFonts w:cs="Arial"/>
                      <w:lang w:eastAsia="ja-JP"/>
                    </w:rPr>
                    <w:t>3.84 MHz</w:t>
                  </w:r>
                </w:p>
              </w:tc>
            </w:tr>
            <w:tr w:rsidR="00BE36C9" w14:paraId="443C4854" w14:textId="77777777" w:rsidTr="00BE36C9">
              <w:trPr>
                <w:trHeight w:val="458"/>
                <w:jc w:val="center"/>
              </w:trPr>
              <w:tc>
                <w:tcPr>
                  <w:tcW w:w="2866" w:type="dxa"/>
                  <w:tcBorders>
                    <w:top w:val="nil"/>
                    <w:left w:val="single" w:sz="4" w:space="0" w:color="auto"/>
                    <w:bottom w:val="single" w:sz="4" w:space="0" w:color="auto"/>
                    <w:right w:val="single" w:sz="4" w:space="0" w:color="auto"/>
                  </w:tcBorders>
                  <w:vAlign w:val="center"/>
                  <w:hideMark/>
                </w:tcPr>
                <w:p w14:paraId="636EEBC0" w14:textId="77777777" w:rsidR="00BE36C9" w:rsidRDefault="00BE36C9" w:rsidP="00BE36C9">
                  <w:pPr>
                    <w:pStyle w:val="TAH"/>
                    <w:rPr>
                      <w:rFonts w:cs="Arial"/>
                      <w:lang w:eastAsia="ja-JP"/>
                    </w:rPr>
                  </w:pPr>
                  <w:r>
                    <w:rPr>
                      <w:rFonts w:cs="Arial"/>
                      <w:lang w:eastAsia="ja-JP"/>
                    </w:rPr>
                    <w:t>Measurement filter</w:t>
                  </w:r>
                </w:p>
              </w:tc>
              <w:tc>
                <w:tcPr>
                  <w:tcW w:w="1085" w:type="dxa"/>
                  <w:tcBorders>
                    <w:top w:val="nil"/>
                    <w:left w:val="nil"/>
                    <w:bottom w:val="single" w:sz="4" w:space="0" w:color="auto"/>
                    <w:right w:val="single" w:sz="4" w:space="0" w:color="auto"/>
                  </w:tcBorders>
                  <w:noWrap/>
                  <w:vAlign w:val="center"/>
                  <w:hideMark/>
                </w:tcPr>
                <w:p w14:paraId="31570842" w14:textId="77777777" w:rsidR="00BE36C9" w:rsidRDefault="00BE36C9" w:rsidP="00BE36C9">
                  <w:pPr>
                    <w:pStyle w:val="TAC"/>
                    <w:rPr>
                      <w:rFonts w:cs="Arial"/>
                      <w:lang w:eastAsia="ja-JP"/>
                    </w:rPr>
                  </w:pPr>
                  <w:r>
                    <w:rPr>
                      <w:rFonts w:cs="Arial"/>
                      <w:lang w:eastAsia="ja-JP"/>
                    </w:rPr>
                    <w:t>Rectangular</w:t>
                  </w:r>
                </w:p>
              </w:tc>
              <w:tc>
                <w:tcPr>
                  <w:tcW w:w="2246" w:type="dxa"/>
                  <w:tcBorders>
                    <w:top w:val="nil"/>
                    <w:left w:val="nil"/>
                    <w:bottom w:val="single" w:sz="4" w:space="0" w:color="auto"/>
                    <w:right w:val="single" w:sz="4" w:space="0" w:color="auto"/>
                  </w:tcBorders>
                  <w:noWrap/>
                  <w:vAlign w:val="center"/>
                  <w:hideMark/>
                </w:tcPr>
                <w:p w14:paraId="72E487D7" w14:textId="77777777" w:rsidR="00BE36C9" w:rsidRDefault="00BE36C9" w:rsidP="00BE36C9">
                  <w:pPr>
                    <w:pStyle w:val="TAC"/>
                    <w:rPr>
                      <w:rFonts w:cs="Arial"/>
                      <w:lang w:eastAsia="ja-JP"/>
                    </w:rPr>
                  </w:pPr>
                  <w:r>
                    <w:rPr>
                      <w:rFonts w:cs="Arial"/>
                      <w:lang w:eastAsia="ja-JP"/>
                    </w:rPr>
                    <w:t>RRC-filter α=0.22</w:t>
                  </w:r>
                </w:p>
              </w:tc>
            </w:tr>
            <w:tr w:rsidR="00BE36C9" w14:paraId="50AD0952" w14:textId="77777777" w:rsidTr="00BE36C9">
              <w:trPr>
                <w:trHeight w:val="876"/>
                <w:jc w:val="center"/>
              </w:trPr>
              <w:tc>
                <w:tcPr>
                  <w:tcW w:w="2866" w:type="dxa"/>
                  <w:tcBorders>
                    <w:top w:val="single" w:sz="4" w:space="0" w:color="auto"/>
                    <w:left w:val="single" w:sz="4" w:space="0" w:color="auto"/>
                    <w:bottom w:val="single" w:sz="4" w:space="0" w:color="auto"/>
                    <w:right w:val="single" w:sz="4" w:space="0" w:color="auto"/>
                  </w:tcBorders>
                  <w:vAlign w:val="center"/>
                  <w:hideMark/>
                </w:tcPr>
                <w:p w14:paraId="57AF96DB" w14:textId="77777777" w:rsidR="00BE36C9" w:rsidRDefault="00BE36C9" w:rsidP="00BE36C9">
                  <w:pPr>
                    <w:pStyle w:val="TAH"/>
                    <w:rPr>
                      <w:rFonts w:cs="Arial"/>
                      <w:lang w:eastAsia="ja-JP"/>
                    </w:rPr>
                  </w:pPr>
                  <w:r>
                    <w:rPr>
                      <w:rFonts w:cs="Arial"/>
                      <w:lang w:val="en-US" w:eastAsia="ja-JP"/>
                    </w:rPr>
                    <w:t>Category NB1 and NB2 channel measurement bandwidth</w:t>
                  </w:r>
                </w:p>
              </w:tc>
              <w:tc>
                <w:tcPr>
                  <w:tcW w:w="1085" w:type="dxa"/>
                  <w:tcBorders>
                    <w:top w:val="single" w:sz="4" w:space="0" w:color="auto"/>
                    <w:left w:val="nil"/>
                    <w:bottom w:val="single" w:sz="4" w:space="0" w:color="auto"/>
                    <w:right w:val="single" w:sz="4" w:space="0" w:color="auto"/>
                  </w:tcBorders>
                  <w:noWrap/>
                  <w:vAlign w:val="center"/>
                  <w:hideMark/>
                </w:tcPr>
                <w:p w14:paraId="063B2F52" w14:textId="77777777" w:rsidR="00BE36C9" w:rsidRDefault="00BE36C9" w:rsidP="00BE36C9">
                  <w:pPr>
                    <w:pStyle w:val="TAC"/>
                    <w:rPr>
                      <w:rFonts w:cs="Arial"/>
                      <w:lang w:eastAsia="ja-JP"/>
                    </w:rPr>
                  </w:pPr>
                  <w:r>
                    <w:rPr>
                      <w:rFonts w:cs="Arial"/>
                      <w:lang w:eastAsia="ja-JP"/>
                    </w:rPr>
                    <w:t>180 kHz</w:t>
                  </w:r>
                </w:p>
              </w:tc>
              <w:tc>
                <w:tcPr>
                  <w:tcW w:w="2246" w:type="dxa"/>
                  <w:tcBorders>
                    <w:top w:val="single" w:sz="4" w:space="0" w:color="auto"/>
                    <w:left w:val="nil"/>
                    <w:bottom w:val="single" w:sz="4" w:space="0" w:color="auto"/>
                    <w:right w:val="single" w:sz="4" w:space="0" w:color="auto"/>
                  </w:tcBorders>
                  <w:noWrap/>
                  <w:vAlign w:val="center"/>
                  <w:hideMark/>
                </w:tcPr>
                <w:p w14:paraId="27931583" w14:textId="77777777" w:rsidR="00BE36C9" w:rsidRDefault="00BE36C9" w:rsidP="00BE36C9">
                  <w:pPr>
                    <w:pStyle w:val="TAC"/>
                    <w:rPr>
                      <w:rFonts w:cs="Arial"/>
                      <w:lang w:eastAsia="ja-JP"/>
                    </w:rPr>
                  </w:pPr>
                  <w:r>
                    <w:rPr>
                      <w:rFonts w:cs="Arial"/>
                      <w:lang w:eastAsia="ja-JP"/>
                    </w:rPr>
                    <w:t>180 kHz</w:t>
                  </w:r>
                </w:p>
              </w:tc>
            </w:tr>
            <w:tr w:rsidR="00BE36C9" w14:paraId="1EA23F7C" w14:textId="77777777" w:rsidTr="00BE36C9">
              <w:trPr>
                <w:trHeight w:val="521"/>
                <w:jc w:val="center"/>
              </w:trPr>
              <w:tc>
                <w:tcPr>
                  <w:tcW w:w="2866" w:type="dxa"/>
                  <w:tcBorders>
                    <w:top w:val="single" w:sz="4" w:space="0" w:color="auto"/>
                    <w:left w:val="single" w:sz="4" w:space="0" w:color="auto"/>
                    <w:bottom w:val="single" w:sz="4" w:space="0" w:color="auto"/>
                    <w:right w:val="single" w:sz="4" w:space="0" w:color="auto"/>
                  </w:tcBorders>
                  <w:vAlign w:val="center"/>
                  <w:hideMark/>
                </w:tcPr>
                <w:p w14:paraId="194B7A9D" w14:textId="77777777" w:rsidR="00BE36C9" w:rsidRDefault="00BE36C9" w:rsidP="00BE36C9">
                  <w:pPr>
                    <w:pStyle w:val="TAH"/>
                    <w:rPr>
                      <w:rFonts w:cs="Arial"/>
                      <w:lang w:eastAsia="ja-JP"/>
                    </w:rPr>
                  </w:pPr>
                  <w:r>
                    <w:rPr>
                      <w:rFonts w:cs="Arial"/>
                      <w:lang w:val="en-US" w:eastAsia="ja-JP"/>
                    </w:rPr>
                    <w:t xml:space="preserve">Category NB1 and NB2 channel </w:t>
                  </w:r>
                  <w:r>
                    <w:rPr>
                      <w:rFonts w:cs="Arial"/>
                      <w:lang w:eastAsia="ja-JP"/>
                    </w:rPr>
                    <w:t>Measurement filter</w:t>
                  </w:r>
                </w:p>
              </w:tc>
              <w:tc>
                <w:tcPr>
                  <w:tcW w:w="1085" w:type="dxa"/>
                  <w:tcBorders>
                    <w:top w:val="single" w:sz="4" w:space="0" w:color="auto"/>
                    <w:left w:val="nil"/>
                    <w:bottom w:val="single" w:sz="4" w:space="0" w:color="auto"/>
                    <w:right w:val="single" w:sz="4" w:space="0" w:color="auto"/>
                  </w:tcBorders>
                  <w:noWrap/>
                  <w:vAlign w:val="center"/>
                  <w:hideMark/>
                </w:tcPr>
                <w:p w14:paraId="7FAB9B1E" w14:textId="77777777" w:rsidR="00BE36C9" w:rsidRDefault="00BE36C9" w:rsidP="00BE36C9">
                  <w:pPr>
                    <w:pStyle w:val="TAC"/>
                    <w:rPr>
                      <w:rFonts w:cs="Arial"/>
                      <w:lang w:eastAsia="ja-JP"/>
                    </w:rPr>
                  </w:pPr>
                  <w:r>
                    <w:rPr>
                      <w:rFonts w:cs="Arial"/>
                      <w:lang w:eastAsia="ja-JP"/>
                    </w:rPr>
                    <w:t>Rectangular</w:t>
                  </w:r>
                </w:p>
              </w:tc>
              <w:tc>
                <w:tcPr>
                  <w:tcW w:w="2246" w:type="dxa"/>
                  <w:tcBorders>
                    <w:top w:val="single" w:sz="4" w:space="0" w:color="auto"/>
                    <w:left w:val="nil"/>
                    <w:bottom w:val="single" w:sz="4" w:space="0" w:color="auto"/>
                    <w:right w:val="single" w:sz="4" w:space="0" w:color="auto"/>
                  </w:tcBorders>
                  <w:noWrap/>
                  <w:vAlign w:val="center"/>
                  <w:hideMark/>
                </w:tcPr>
                <w:p w14:paraId="756AD60A" w14:textId="77777777" w:rsidR="00BE36C9" w:rsidRDefault="00BE36C9" w:rsidP="00BE36C9">
                  <w:pPr>
                    <w:pStyle w:val="TAC"/>
                    <w:rPr>
                      <w:rFonts w:cs="Arial"/>
                      <w:lang w:eastAsia="ja-JP"/>
                    </w:rPr>
                  </w:pPr>
                  <w:r>
                    <w:rPr>
                      <w:rFonts w:cs="Arial"/>
                      <w:lang w:eastAsia="ja-JP"/>
                    </w:rPr>
                    <w:t>Rectangular</w:t>
                  </w:r>
                </w:p>
              </w:tc>
            </w:tr>
          </w:tbl>
          <w:p w14:paraId="6366152B" w14:textId="77777777" w:rsidR="00BE36C9" w:rsidRDefault="00BE36C9" w:rsidP="00AA6B3C">
            <w:pPr>
              <w:rPr>
                <w:rFonts w:eastAsia="新細明體"/>
                <w:lang w:eastAsia="zh-TW"/>
              </w:rPr>
            </w:pPr>
          </w:p>
        </w:tc>
      </w:tr>
    </w:tbl>
    <w:p w14:paraId="5391914E" w14:textId="77777777" w:rsidR="00BC5C2A" w:rsidRDefault="00BC5C2A" w:rsidP="00AA6B3C">
      <w:pPr>
        <w:rPr>
          <w:rFonts w:eastAsia="新細明體"/>
          <w:lang w:eastAsia="zh-TW"/>
        </w:rPr>
      </w:pPr>
    </w:p>
    <w:p w14:paraId="5655A0E4" w14:textId="77777777" w:rsidR="00BE36C9" w:rsidRDefault="00BE36C9" w:rsidP="00AA6B3C">
      <w:pPr>
        <w:rPr>
          <w:rFonts w:eastAsia="新細明體"/>
          <w:lang w:eastAsia="zh-TW"/>
        </w:rPr>
      </w:pPr>
    </w:p>
    <w:p w14:paraId="2427558E" w14:textId="326FB066" w:rsidR="00347710" w:rsidRPr="00347710" w:rsidRDefault="00347710" w:rsidP="00AA6B3C">
      <w:pPr>
        <w:rPr>
          <w:rFonts w:eastAsia="新細明體"/>
          <w:lang w:eastAsia="zh-TW"/>
        </w:rPr>
      </w:pPr>
      <w:r>
        <w:rPr>
          <w:rFonts w:eastAsia="新細明體"/>
          <w:lang w:eastAsia="zh-TW"/>
        </w:rPr>
        <w:lastRenderedPageBreak/>
        <w:t xml:space="preserve">According to TS 36.102 [4], the </w:t>
      </w:r>
      <w:r>
        <w:t xml:space="preserve">ACLR </w:t>
      </w:r>
      <w:r>
        <w:rPr>
          <w:rFonts w:eastAsia="新細明體"/>
          <w:lang w:eastAsia="zh-TW"/>
        </w:rPr>
        <w:t>values are provided in Tables below for reference.</w:t>
      </w:r>
    </w:p>
    <w:tbl>
      <w:tblPr>
        <w:tblStyle w:val="afb"/>
        <w:tblW w:w="0" w:type="auto"/>
        <w:tblLook w:val="04A0" w:firstRow="1" w:lastRow="0" w:firstColumn="1" w:lastColumn="0" w:noHBand="0" w:noVBand="1"/>
      </w:tblPr>
      <w:tblGrid>
        <w:gridCol w:w="9629"/>
      </w:tblGrid>
      <w:tr w:rsidR="00A63E82" w14:paraId="29E32EE7" w14:textId="77777777" w:rsidTr="00A63E82">
        <w:tc>
          <w:tcPr>
            <w:tcW w:w="9629" w:type="dxa"/>
          </w:tcPr>
          <w:p w14:paraId="770D05A4" w14:textId="071B2708" w:rsidR="00EF110C" w:rsidRDefault="00EF110C" w:rsidP="00EF110C">
            <w:pPr>
              <w:pStyle w:val="TH"/>
              <w:rPr>
                <w:rFonts w:cs="v5.0.0"/>
                <w:lang w:eastAsia="en-GB"/>
              </w:rPr>
            </w:pPr>
            <w:bookmarkStart w:id="17" w:name="OLE_LINK40"/>
            <w:r>
              <w:t>TS 36.102 Table 6.5A.3.4-1: Category M1 ACLR requirements</w:t>
            </w:r>
          </w:p>
          <w:tbl>
            <w:tblPr>
              <w:tblW w:w="0" w:type="auto"/>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8"/>
              <w:gridCol w:w="4330"/>
            </w:tblGrid>
            <w:tr w:rsidR="00EF110C" w14:paraId="4A547B97" w14:textId="77777777" w:rsidTr="00EF110C">
              <w:tc>
                <w:tcPr>
                  <w:tcW w:w="4078" w:type="dxa"/>
                  <w:vMerge w:val="restart"/>
                  <w:tcBorders>
                    <w:top w:val="single" w:sz="4" w:space="0" w:color="auto"/>
                    <w:left w:val="single" w:sz="4" w:space="0" w:color="auto"/>
                    <w:bottom w:val="single" w:sz="4" w:space="0" w:color="auto"/>
                    <w:right w:val="single" w:sz="4" w:space="0" w:color="auto"/>
                  </w:tcBorders>
                </w:tcPr>
                <w:p w14:paraId="499E6647" w14:textId="77777777" w:rsidR="00EF110C" w:rsidRDefault="00EF110C" w:rsidP="00EF110C">
                  <w:pPr>
                    <w:pStyle w:val="TAH"/>
                    <w:rPr>
                      <w:rFonts w:cs="Arial"/>
                    </w:rPr>
                  </w:pPr>
                </w:p>
              </w:tc>
              <w:tc>
                <w:tcPr>
                  <w:tcW w:w="4330" w:type="dxa"/>
                  <w:tcBorders>
                    <w:top w:val="single" w:sz="4" w:space="0" w:color="auto"/>
                    <w:left w:val="single" w:sz="4" w:space="0" w:color="auto"/>
                    <w:bottom w:val="single" w:sz="4" w:space="0" w:color="auto"/>
                    <w:right w:val="single" w:sz="4" w:space="0" w:color="auto"/>
                  </w:tcBorders>
                  <w:hideMark/>
                </w:tcPr>
                <w:p w14:paraId="5CC69BD1" w14:textId="77777777" w:rsidR="00EF110C" w:rsidRDefault="00EF110C" w:rsidP="00EF110C">
                  <w:pPr>
                    <w:pStyle w:val="TAH"/>
                    <w:rPr>
                      <w:rFonts w:cs="Arial"/>
                    </w:rPr>
                  </w:pPr>
                  <w:r>
                    <w:rPr>
                      <w:rFonts w:cs="Arial"/>
                    </w:rPr>
                    <w:t>Channel bandwidth / E-UTRA</w:t>
                  </w:r>
                  <w:r>
                    <w:rPr>
                      <w:rFonts w:cs="Arial"/>
                      <w:vertAlign w:val="subscript"/>
                    </w:rPr>
                    <w:t xml:space="preserve">ACLR </w:t>
                  </w:r>
                  <w:r>
                    <w:rPr>
                      <w:rFonts w:cs="Arial"/>
                    </w:rPr>
                    <w:t>/ Measurement bandwidth</w:t>
                  </w:r>
                </w:p>
              </w:tc>
            </w:tr>
            <w:tr w:rsidR="00EF110C" w14:paraId="301AA5C6" w14:textId="77777777" w:rsidTr="00EF110C">
              <w:tc>
                <w:tcPr>
                  <w:tcW w:w="4078" w:type="dxa"/>
                  <w:vMerge/>
                  <w:tcBorders>
                    <w:top w:val="single" w:sz="4" w:space="0" w:color="auto"/>
                    <w:left w:val="single" w:sz="4" w:space="0" w:color="auto"/>
                    <w:bottom w:val="single" w:sz="4" w:space="0" w:color="auto"/>
                    <w:right w:val="single" w:sz="4" w:space="0" w:color="auto"/>
                  </w:tcBorders>
                  <w:vAlign w:val="center"/>
                  <w:hideMark/>
                </w:tcPr>
                <w:p w14:paraId="26162174" w14:textId="77777777" w:rsidR="00EF110C" w:rsidRDefault="00EF110C" w:rsidP="00EF110C">
                  <w:pPr>
                    <w:spacing w:after="0"/>
                    <w:rPr>
                      <w:rFonts w:ascii="Arial" w:eastAsia="Times New Roman" w:hAnsi="Arial" w:cs="Arial"/>
                      <w:b/>
                      <w:sz w:val="18"/>
                      <w:lang w:eastAsia="en-GB"/>
                    </w:rPr>
                  </w:pPr>
                </w:p>
              </w:tc>
              <w:tc>
                <w:tcPr>
                  <w:tcW w:w="4330" w:type="dxa"/>
                  <w:tcBorders>
                    <w:top w:val="single" w:sz="4" w:space="0" w:color="auto"/>
                    <w:left w:val="single" w:sz="4" w:space="0" w:color="auto"/>
                    <w:bottom w:val="single" w:sz="4" w:space="0" w:color="auto"/>
                    <w:right w:val="single" w:sz="4" w:space="0" w:color="auto"/>
                  </w:tcBorders>
                  <w:hideMark/>
                </w:tcPr>
                <w:p w14:paraId="3A0E3190" w14:textId="77777777" w:rsidR="00EF110C" w:rsidRDefault="00EF110C" w:rsidP="00EF110C">
                  <w:pPr>
                    <w:pStyle w:val="TAH"/>
                    <w:rPr>
                      <w:rFonts w:cs="Arial"/>
                    </w:rPr>
                  </w:pPr>
                  <w:r>
                    <w:rPr>
                      <w:rFonts w:cs="Arial"/>
                    </w:rPr>
                    <w:t>1.4</w:t>
                  </w:r>
                </w:p>
                <w:p w14:paraId="4D9033A8" w14:textId="77777777" w:rsidR="00EF110C" w:rsidRDefault="00EF110C" w:rsidP="00EF110C">
                  <w:pPr>
                    <w:pStyle w:val="TAH"/>
                    <w:rPr>
                      <w:rFonts w:cs="Arial"/>
                    </w:rPr>
                  </w:pPr>
                  <w:r>
                    <w:rPr>
                      <w:rFonts w:cs="Arial"/>
                    </w:rPr>
                    <w:t>MHz</w:t>
                  </w:r>
                </w:p>
              </w:tc>
            </w:tr>
            <w:tr w:rsidR="00EF110C" w14:paraId="046D29A4" w14:textId="77777777" w:rsidTr="00EF110C">
              <w:tc>
                <w:tcPr>
                  <w:tcW w:w="4078" w:type="dxa"/>
                  <w:tcBorders>
                    <w:top w:val="single" w:sz="4" w:space="0" w:color="auto"/>
                    <w:left w:val="single" w:sz="4" w:space="0" w:color="auto"/>
                    <w:bottom w:val="single" w:sz="4" w:space="0" w:color="auto"/>
                    <w:right w:val="single" w:sz="4" w:space="0" w:color="auto"/>
                  </w:tcBorders>
                  <w:vAlign w:val="center"/>
                  <w:hideMark/>
                </w:tcPr>
                <w:p w14:paraId="09566C6F" w14:textId="77777777" w:rsidR="00EF110C" w:rsidRDefault="00EF110C" w:rsidP="00EF110C">
                  <w:pPr>
                    <w:pStyle w:val="TAC"/>
                    <w:rPr>
                      <w:rFonts w:cs="Arial"/>
                    </w:rPr>
                  </w:pPr>
                  <w:r>
                    <w:rPr>
                      <w:rFonts w:cs="Arial"/>
                    </w:rPr>
                    <w:t>E-UTRA</w:t>
                  </w:r>
                  <w:r>
                    <w:rPr>
                      <w:rFonts w:cs="Arial"/>
                      <w:vertAlign w:val="subscript"/>
                    </w:rPr>
                    <w:t>ACLR</w:t>
                  </w:r>
                </w:p>
              </w:tc>
              <w:tc>
                <w:tcPr>
                  <w:tcW w:w="4330" w:type="dxa"/>
                  <w:tcBorders>
                    <w:top w:val="single" w:sz="4" w:space="0" w:color="auto"/>
                    <w:left w:val="single" w:sz="4" w:space="0" w:color="auto"/>
                    <w:bottom w:val="single" w:sz="4" w:space="0" w:color="auto"/>
                    <w:right w:val="single" w:sz="4" w:space="0" w:color="auto"/>
                  </w:tcBorders>
                  <w:vAlign w:val="center"/>
                  <w:hideMark/>
                </w:tcPr>
                <w:p w14:paraId="538A8716" w14:textId="77777777" w:rsidR="00EF110C" w:rsidRDefault="00EF110C" w:rsidP="00EF110C">
                  <w:pPr>
                    <w:pStyle w:val="TAC"/>
                    <w:rPr>
                      <w:rFonts w:cs="Arial"/>
                    </w:rPr>
                  </w:pPr>
                  <w:r>
                    <w:rPr>
                      <w:rFonts w:cs="Arial"/>
                    </w:rPr>
                    <w:t>30 dB</w:t>
                  </w:r>
                </w:p>
              </w:tc>
            </w:tr>
            <w:tr w:rsidR="00EF110C" w14:paraId="3966845F" w14:textId="77777777" w:rsidTr="00EF110C">
              <w:tc>
                <w:tcPr>
                  <w:tcW w:w="4078" w:type="dxa"/>
                  <w:tcBorders>
                    <w:top w:val="single" w:sz="4" w:space="0" w:color="auto"/>
                    <w:left w:val="single" w:sz="4" w:space="0" w:color="auto"/>
                    <w:bottom w:val="single" w:sz="4" w:space="0" w:color="auto"/>
                    <w:right w:val="single" w:sz="4" w:space="0" w:color="auto"/>
                  </w:tcBorders>
                  <w:vAlign w:val="center"/>
                  <w:hideMark/>
                </w:tcPr>
                <w:p w14:paraId="6AE33977" w14:textId="77777777" w:rsidR="00EF110C" w:rsidRDefault="00EF110C" w:rsidP="00EF110C">
                  <w:pPr>
                    <w:pStyle w:val="TAC"/>
                    <w:rPr>
                      <w:rFonts w:cs="Arial"/>
                    </w:rPr>
                  </w:pPr>
                  <w:r>
                    <w:rPr>
                      <w:rFonts w:cs="Arial"/>
                    </w:rPr>
                    <w:t>E-UTRA channel Measurement bandwidth</w:t>
                  </w:r>
                </w:p>
              </w:tc>
              <w:tc>
                <w:tcPr>
                  <w:tcW w:w="4330" w:type="dxa"/>
                  <w:tcBorders>
                    <w:top w:val="single" w:sz="4" w:space="0" w:color="auto"/>
                    <w:left w:val="single" w:sz="4" w:space="0" w:color="auto"/>
                    <w:bottom w:val="single" w:sz="4" w:space="0" w:color="auto"/>
                    <w:right w:val="single" w:sz="4" w:space="0" w:color="auto"/>
                  </w:tcBorders>
                  <w:vAlign w:val="center"/>
                  <w:hideMark/>
                </w:tcPr>
                <w:p w14:paraId="2A206F9C" w14:textId="77777777" w:rsidR="00EF110C" w:rsidRDefault="00EF110C" w:rsidP="00EF110C">
                  <w:pPr>
                    <w:pStyle w:val="TAC"/>
                    <w:rPr>
                      <w:rFonts w:cs="Arial"/>
                    </w:rPr>
                  </w:pPr>
                  <w:r>
                    <w:rPr>
                      <w:rFonts w:cs="Arial"/>
                    </w:rPr>
                    <w:t>1.08 MHz</w:t>
                  </w:r>
                </w:p>
              </w:tc>
            </w:tr>
            <w:tr w:rsidR="00EF110C" w14:paraId="48571E6C" w14:textId="77777777" w:rsidTr="00EF110C">
              <w:tc>
                <w:tcPr>
                  <w:tcW w:w="4078" w:type="dxa"/>
                  <w:tcBorders>
                    <w:top w:val="single" w:sz="4" w:space="0" w:color="auto"/>
                    <w:left w:val="single" w:sz="4" w:space="0" w:color="auto"/>
                    <w:bottom w:val="single" w:sz="4" w:space="0" w:color="auto"/>
                    <w:right w:val="single" w:sz="4" w:space="0" w:color="auto"/>
                  </w:tcBorders>
                  <w:vAlign w:val="center"/>
                  <w:hideMark/>
                </w:tcPr>
                <w:p w14:paraId="2CF0FC0A" w14:textId="77777777" w:rsidR="00EF110C" w:rsidRDefault="00EF110C" w:rsidP="00EF110C">
                  <w:pPr>
                    <w:pStyle w:val="TAC"/>
                    <w:rPr>
                      <w:rFonts w:cs="Arial"/>
                    </w:rPr>
                  </w:pPr>
                  <w:r>
                    <w:rPr>
                      <w:rFonts w:cs="Arial"/>
                    </w:rPr>
                    <w:t>Adjacent channel centre frequency offset [MHz]</w:t>
                  </w:r>
                </w:p>
              </w:tc>
              <w:tc>
                <w:tcPr>
                  <w:tcW w:w="4330" w:type="dxa"/>
                  <w:tcBorders>
                    <w:top w:val="single" w:sz="4" w:space="0" w:color="auto"/>
                    <w:left w:val="single" w:sz="4" w:space="0" w:color="auto"/>
                    <w:bottom w:val="single" w:sz="4" w:space="0" w:color="auto"/>
                    <w:right w:val="single" w:sz="4" w:space="0" w:color="auto"/>
                  </w:tcBorders>
                  <w:vAlign w:val="center"/>
                  <w:hideMark/>
                </w:tcPr>
                <w:p w14:paraId="3401E912" w14:textId="77777777" w:rsidR="00EF110C" w:rsidRDefault="00EF110C" w:rsidP="00EF110C">
                  <w:pPr>
                    <w:pStyle w:val="TAC"/>
                    <w:rPr>
                      <w:rFonts w:cs="Arial"/>
                    </w:rPr>
                  </w:pPr>
                  <w:r>
                    <w:rPr>
                      <w:rFonts w:cs="Arial"/>
                    </w:rPr>
                    <w:t>+1.4/-1.4</w:t>
                  </w:r>
                </w:p>
              </w:tc>
            </w:tr>
          </w:tbl>
          <w:p w14:paraId="3902577D" w14:textId="77777777" w:rsidR="00A63E82" w:rsidRDefault="00A63E82" w:rsidP="00464BB0">
            <w:pPr>
              <w:rPr>
                <w:rFonts w:eastAsia="新細明體"/>
                <w:lang w:eastAsia="zh-TW"/>
              </w:rPr>
            </w:pPr>
          </w:p>
        </w:tc>
      </w:tr>
    </w:tbl>
    <w:p w14:paraId="4AAD4D58" w14:textId="77777777" w:rsidR="00A82072" w:rsidRDefault="00A82072" w:rsidP="00464BB0">
      <w:pPr>
        <w:rPr>
          <w:rFonts w:eastAsia="新細明體"/>
          <w:lang w:eastAsia="zh-TW"/>
        </w:rPr>
      </w:pPr>
    </w:p>
    <w:tbl>
      <w:tblPr>
        <w:tblStyle w:val="afb"/>
        <w:tblW w:w="0" w:type="auto"/>
        <w:tblLook w:val="04A0" w:firstRow="1" w:lastRow="0" w:firstColumn="1" w:lastColumn="0" w:noHBand="0" w:noVBand="1"/>
      </w:tblPr>
      <w:tblGrid>
        <w:gridCol w:w="9629"/>
      </w:tblGrid>
      <w:tr w:rsidR="00A63E82" w14:paraId="3BA8AA52" w14:textId="77777777" w:rsidTr="00A63E82">
        <w:tc>
          <w:tcPr>
            <w:tcW w:w="9629" w:type="dxa"/>
          </w:tcPr>
          <w:p w14:paraId="36F99547" w14:textId="5BF5F058" w:rsidR="00EF110C" w:rsidRDefault="00EF110C" w:rsidP="00EF110C">
            <w:pPr>
              <w:pStyle w:val="TH"/>
              <w:rPr>
                <w:lang w:eastAsia="en-GB"/>
              </w:rPr>
            </w:pPr>
            <w:r>
              <w:t>TS 36.102 Table 6.5B.3.4-1: Category NB1 and NB2 UE ACLR requirements</w:t>
            </w:r>
          </w:p>
          <w:tbl>
            <w:tblPr>
              <w:tblW w:w="7133" w:type="dxa"/>
              <w:jc w:val="center"/>
              <w:tblLook w:val="04A0" w:firstRow="1" w:lastRow="0" w:firstColumn="1" w:lastColumn="0" w:noHBand="0" w:noVBand="1"/>
            </w:tblPr>
            <w:tblGrid>
              <w:gridCol w:w="4103"/>
              <w:gridCol w:w="1309"/>
              <w:gridCol w:w="1721"/>
            </w:tblGrid>
            <w:tr w:rsidR="00EF110C" w14:paraId="143FE186" w14:textId="77777777" w:rsidTr="00EF110C">
              <w:trPr>
                <w:trHeight w:val="288"/>
                <w:jc w:val="center"/>
              </w:trPr>
              <w:tc>
                <w:tcPr>
                  <w:tcW w:w="4103" w:type="dxa"/>
                  <w:tcBorders>
                    <w:top w:val="single" w:sz="4" w:space="0" w:color="auto"/>
                    <w:left w:val="single" w:sz="4" w:space="0" w:color="auto"/>
                    <w:bottom w:val="single" w:sz="4" w:space="0" w:color="auto"/>
                    <w:right w:val="single" w:sz="4" w:space="0" w:color="auto"/>
                  </w:tcBorders>
                  <w:noWrap/>
                  <w:vAlign w:val="center"/>
                  <w:hideMark/>
                </w:tcPr>
                <w:p w14:paraId="1FE09D6F" w14:textId="77777777" w:rsidR="00EF110C" w:rsidRDefault="00EF110C" w:rsidP="00EF110C"/>
              </w:tc>
              <w:tc>
                <w:tcPr>
                  <w:tcW w:w="1309" w:type="dxa"/>
                  <w:tcBorders>
                    <w:top w:val="single" w:sz="4" w:space="0" w:color="auto"/>
                    <w:left w:val="nil"/>
                    <w:bottom w:val="single" w:sz="4" w:space="0" w:color="auto"/>
                    <w:right w:val="single" w:sz="4" w:space="0" w:color="auto"/>
                  </w:tcBorders>
                  <w:noWrap/>
                  <w:vAlign w:val="center"/>
                  <w:hideMark/>
                </w:tcPr>
                <w:p w14:paraId="07048099" w14:textId="77777777" w:rsidR="00EF110C" w:rsidRDefault="00EF110C" w:rsidP="00EF110C">
                  <w:pPr>
                    <w:pStyle w:val="TAH"/>
                    <w:rPr>
                      <w:rFonts w:eastAsia="Times New Roman" w:cs="Arial"/>
                      <w:bCs/>
                      <w:lang w:val="en-US" w:eastAsia="ja-JP"/>
                    </w:rPr>
                  </w:pPr>
                  <w:r>
                    <w:rPr>
                      <w:rFonts w:cs="Arial"/>
                      <w:bCs/>
                      <w:lang w:eastAsia="ja-JP"/>
                    </w:rPr>
                    <w:t>GSM</w:t>
                  </w:r>
                  <w:r>
                    <w:rPr>
                      <w:rFonts w:cs="Arial"/>
                      <w:bCs/>
                      <w:vertAlign w:val="subscript"/>
                      <w:lang w:val="en-US" w:eastAsia="ja-JP"/>
                    </w:rPr>
                    <w:t>ACLR</w:t>
                  </w:r>
                </w:p>
              </w:tc>
              <w:tc>
                <w:tcPr>
                  <w:tcW w:w="1721" w:type="dxa"/>
                  <w:tcBorders>
                    <w:top w:val="single" w:sz="4" w:space="0" w:color="auto"/>
                    <w:left w:val="nil"/>
                    <w:bottom w:val="single" w:sz="4" w:space="0" w:color="auto"/>
                    <w:right w:val="single" w:sz="4" w:space="0" w:color="auto"/>
                  </w:tcBorders>
                  <w:noWrap/>
                  <w:vAlign w:val="center"/>
                  <w:hideMark/>
                </w:tcPr>
                <w:p w14:paraId="52C615D1" w14:textId="77777777" w:rsidR="00EF110C" w:rsidRDefault="00EF110C" w:rsidP="00EF110C">
                  <w:pPr>
                    <w:pStyle w:val="TAH"/>
                    <w:rPr>
                      <w:rFonts w:cs="Arial"/>
                      <w:bCs/>
                      <w:lang w:eastAsia="ja-JP"/>
                    </w:rPr>
                  </w:pPr>
                  <w:r>
                    <w:rPr>
                      <w:rFonts w:cs="Arial"/>
                      <w:bCs/>
                      <w:lang w:eastAsia="ja-JP"/>
                    </w:rPr>
                    <w:t>UTRA</w:t>
                  </w:r>
                  <w:r>
                    <w:rPr>
                      <w:rFonts w:cs="Arial"/>
                      <w:bCs/>
                      <w:vertAlign w:val="subscript"/>
                      <w:lang w:val="en-US" w:eastAsia="ja-JP"/>
                    </w:rPr>
                    <w:t>ACLR</w:t>
                  </w:r>
                </w:p>
              </w:tc>
            </w:tr>
            <w:tr w:rsidR="00EF110C" w14:paraId="5A5C1FAA" w14:textId="77777777" w:rsidTr="00EF110C">
              <w:trPr>
                <w:trHeight w:val="288"/>
                <w:jc w:val="center"/>
              </w:trPr>
              <w:tc>
                <w:tcPr>
                  <w:tcW w:w="4103" w:type="dxa"/>
                  <w:tcBorders>
                    <w:top w:val="nil"/>
                    <w:left w:val="single" w:sz="4" w:space="0" w:color="auto"/>
                    <w:bottom w:val="single" w:sz="4" w:space="0" w:color="auto"/>
                    <w:right w:val="single" w:sz="4" w:space="0" w:color="auto"/>
                  </w:tcBorders>
                  <w:noWrap/>
                  <w:vAlign w:val="center"/>
                  <w:hideMark/>
                </w:tcPr>
                <w:p w14:paraId="71BB890D" w14:textId="77777777" w:rsidR="00EF110C" w:rsidRDefault="00EF110C" w:rsidP="00EF110C">
                  <w:pPr>
                    <w:pStyle w:val="TAH"/>
                    <w:rPr>
                      <w:rFonts w:cs="Arial"/>
                      <w:lang w:eastAsia="ja-JP"/>
                    </w:rPr>
                  </w:pPr>
                  <w:r>
                    <w:rPr>
                      <w:rFonts w:cs="Arial"/>
                      <w:lang w:eastAsia="ja-JP"/>
                    </w:rPr>
                    <w:t>ACLR</w:t>
                  </w:r>
                </w:p>
              </w:tc>
              <w:tc>
                <w:tcPr>
                  <w:tcW w:w="1309" w:type="dxa"/>
                  <w:tcBorders>
                    <w:top w:val="nil"/>
                    <w:left w:val="nil"/>
                    <w:bottom w:val="single" w:sz="4" w:space="0" w:color="auto"/>
                    <w:right w:val="single" w:sz="4" w:space="0" w:color="auto"/>
                  </w:tcBorders>
                  <w:noWrap/>
                  <w:vAlign w:val="center"/>
                  <w:hideMark/>
                </w:tcPr>
                <w:p w14:paraId="42859A7A" w14:textId="77777777" w:rsidR="00EF110C" w:rsidRDefault="00EF110C" w:rsidP="00EF110C">
                  <w:pPr>
                    <w:pStyle w:val="TAC"/>
                    <w:rPr>
                      <w:rFonts w:cs="Arial"/>
                      <w:lang w:eastAsia="ja-JP"/>
                    </w:rPr>
                  </w:pPr>
                  <w:r>
                    <w:rPr>
                      <w:rFonts w:cs="Arial"/>
                      <w:lang w:eastAsia="ja-JP"/>
                    </w:rPr>
                    <w:t>20 dB</w:t>
                  </w:r>
                </w:p>
              </w:tc>
              <w:tc>
                <w:tcPr>
                  <w:tcW w:w="1721" w:type="dxa"/>
                  <w:tcBorders>
                    <w:top w:val="nil"/>
                    <w:left w:val="nil"/>
                    <w:bottom w:val="single" w:sz="4" w:space="0" w:color="auto"/>
                    <w:right w:val="single" w:sz="4" w:space="0" w:color="auto"/>
                  </w:tcBorders>
                  <w:noWrap/>
                  <w:vAlign w:val="center"/>
                  <w:hideMark/>
                </w:tcPr>
                <w:p w14:paraId="1A8423BF" w14:textId="77777777" w:rsidR="00EF110C" w:rsidRDefault="00EF110C" w:rsidP="00EF110C">
                  <w:pPr>
                    <w:pStyle w:val="TAC"/>
                    <w:rPr>
                      <w:rFonts w:cs="Arial"/>
                      <w:lang w:eastAsia="ja-JP"/>
                    </w:rPr>
                  </w:pPr>
                  <w:r>
                    <w:rPr>
                      <w:rFonts w:cs="Arial"/>
                      <w:lang w:eastAsia="ja-JP"/>
                    </w:rPr>
                    <w:t>37 dB</w:t>
                  </w:r>
                </w:p>
              </w:tc>
            </w:tr>
            <w:tr w:rsidR="00EF110C" w14:paraId="58651780" w14:textId="77777777" w:rsidTr="00EF110C">
              <w:trPr>
                <w:trHeight w:val="288"/>
                <w:jc w:val="center"/>
              </w:trPr>
              <w:tc>
                <w:tcPr>
                  <w:tcW w:w="4103" w:type="dxa"/>
                  <w:tcBorders>
                    <w:top w:val="nil"/>
                    <w:left w:val="single" w:sz="4" w:space="0" w:color="auto"/>
                    <w:bottom w:val="single" w:sz="4" w:space="0" w:color="auto"/>
                    <w:right w:val="single" w:sz="4" w:space="0" w:color="auto"/>
                  </w:tcBorders>
                  <w:noWrap/>
                  <w:vAlign w:val="center"/>
                  <w:hideMark/>
                </w:tcPr>
                <w:p w14:paraId="1B37AF53" w14:textId="77777777" w:rsidR="00EF110C" w:rsidRDefault="00EF110C" w:rsidP="00EF110C">
                  <w:pPr>
                    <w:pStyle w:val="TAH"/>
                    <w:rPr>
                      <w:rFonts w:cs="Arial"/>
                      <w:lang w:eastAsia="ja-JP"/>
                    </w:rPr>
                  </w:pPr>
                  <w:r>
                    <w:rPr>
                      <w:rFonts w:cs="Arial"/>
                      <w:lang w:eastAsia="ja-JP"/>
                    </w:rPr>
                    <w:t>Adjacent channel</w:t>
                  </w:r>
                  <w:r>
                    <w:rPr>
                      <w:rFonts w:cs="Arial"/>
                      <w:lang w:eastAsia="ja-JP"/>
                    </w:rPr>
                    <w:br/>
                    <w:t xml:space="preserve"> </w:t>
                  </w:r>
                  <w:proofErr w:type="spellStart"/>
                  <w:r>
                    <w:rPr>
                      <w:rFonts w:cs="Arial"/>
                      <w:lang w:eastAsia="ja-JP"/>
                    </w:rPr>
                    <w:t>center</w:t>
                  </w:r>
                  <w:proofErr w:type="spellEnd"/>
                  <w:r>
                    <w:rPr>
                      <w:rFonts w:cs="Arial"/>
                      <w:lang w:eastAsia="ja-JP"/>
                    </w:rPr>
                    <w:t xml:space="preserve"> frequency offset</w:t>
                  </w:r>
                  <w:r>
                    <w:rPr>
                      <w:rFonts w:cs="Arial"/>
                      <w:lang w:eastAsia="ja-JP"/>
                    </w:rPr>
                    <w:br/>
                    <w:t xml:space="preserve">from category NB1 </w:t>
                  </w:r>
                  <w:r>
                    <w:rPr>
                      <w:rFonts w:cs="Arial"/>
                      <w:lang w:eastAsia="zh-CN"/>
                    </w:rPr>
                    <w:t>or</w:t>
                  </w:r>
                  <w:r>
                    <w:rPr>
                      <w:rFonts w:cs="Arial"/>
                      <w:lang w:eastAsia="ja-JP"/>
                    </w:rPr>
                    <w:t xml:space="preserve"> NB2 Channel edge</w:t>
                  </w:r>
                </w:p>
              </w:tc>
              <w:tc>
                <w:tcPr>
                  <w:tcW w:w="1309" w:type="dxa"/>
                  <w:tcBorders>
                    <w:top w:val="nil"/>
                    <w:left w:val="nil"/>
                    <w:bottom w:val="single" w:sz="4" w:space="0" w:color="auto"/>
                    <w:right w:val="single" w:sz="4" w:space="0" w:color="auto"/>
                  </w:tcBorders>
                  <w:noWrap/>
                  <w:vAlign w:val="center"/>
                  <w:hideMark/>
                </w:tcPr>
                <w:p w14:paraId="424DD294" w14:textId="77777777" w:rsidR="00EF110C" w:rsidRDefault="00EF110C" w:rsidP="00EF110C">
                  <w:pPr>
                    <w:pStyle w:val="TAC"/>
                    <w:rPr>
                      <w:rFonts w:cs="Arial"/>
                      <w:lang w:eastAsia="ja-JP"/>
                    </w:rPr>
                  </w:pPr>
                  <w:r>
                    <w:rPr>
                      <w:rFonts w:cs="Arial"/>
                      <w:lang w:eastAsia="ja-JP"/>
                    </w:rPr>
                    <w:t>±200 kHz</w:t>
                  </w:r>
                </w:p>
              </w:tc>
              <w:tc>
                <w:tcPr>
                  <w:tcW w:w="1721" w:type="dxa"/>
                  <w:tcBorders>
                    <w:top w:val="nil"/>
                    <w:left w:val="nil"/>
                    <w:bottom w:val="single" w:sz="4" w:space="0" w:color="auto"/>
                    <w:right w:val="single" w:sz="4" w:space="0" w:color="auto"/>
                  </w:tcBorders>
                  <w:noWrap/>
                  <w:vAlign w:val="center"/>
                  <w:hideMark/>
                </w:tcPr>
                <w:p w14:paraId="3E943FEC" w14:textId="77777777" w:rsidR="00EF110C" w:rsidRDefault="00EF110C" w:rsidP="00EF110C">
                  <w:pPr>
                    <w:pStyle w:val="TAC"/>
                    <w:rPr>
                      <w:rFonts w:cs="Arial"/>
                      <w:lang w:eastAsia="ja-JP"/>
                    </w:rPr>
                  </w:pPr>
                  <w:r>
                    <w:rPr>
                      <w:rFonts w:cs="Arial"/>
                      <w:lang w:eastAsia="ja-JP"/>
                    </w:rPr>
                    <w:t>±2.5 MHz</w:t>
                  </w:r>
                </w:p>
              </w:tc>
            </w:tr>
            <w:tr w:rsidR="00EF110C" w14:paraId="4CADA7A8" w14:textId="77777777" w:rsidTr="00EF110C">
              <w:trPr>
                <w:trHeight w:val="576"/>
                <w:jc w:val="center"/>
              </w:trPr>
              <w:tc>
                <w:tcPr>
                  <w:tcW w:w="4103" w:type="dxa"/>
                  <w:tcBorders>
                    <w:top w:val="nil"/>
                    <w:left w:val="single" w:sz="4" w:space="0" w:color="auto"/>
                    <w:bottom w:val="single" w:sz="4" w:space="0" w:color="auto"/>
                    <w:right w:val="single" w:sz="4" w:space="0" w:color="auto"/>
                  </w:tcBorders>
                  <w:vAlign w:val="center"/>
                  <w:hideMark/>
                </w:tcPr>
                <w:p w14:paraId="39437061" w14:textId="77777777" w:rsidR="00EF110C" w:rsidRDefault="00EF110C" w:rsidP="00EF110C">
                  <w:pPr>
                    <w:pStyle w:val="TAH"/>
                    <w:rPr>
                      <w:rFonts w:cs="Arial"/>
                      <w:lang w:eastAsia="ja-JP"/>
                    </w:rPr>
                  </w:pPr>
                  <w:r>
                    <w:rPr>
                      <w:rFonts w:cs="Arial"/>
                      <w:lang w:eastAsia="ja-JP"/>
                    </w:rPr>
                    <w:t>Adjacent channel</w:t>
                  </w:r>
                  <w:r>
                    <w:rPr>
                      <w:rFonts w:cs="Arial"/>
                      <w:lang w:eastAsia="ja-JP"/>
                    </w:rPr>
                    <w:br/>
                    <w:t>measurement bandwidth</w:t>
                  </w:r>
                </w:p>
              </w:tc>
              <w:tc>
                <w:tcPr>
                  <w:tcW w:w="1309" w:type="dxa"/>
                  <w:tcBorders>
                    <w:top w:val="nil"/>
                    <w:left w:val="nil"/>
                    <w:bottom w:val="single" w:sz="4" w:space="0" w:color="auto"/>
                    <w:right w:val="single" w:sz="4" w:space="0" w:color="auto"/>
                  </w:tcBorders>
                  <w:noWrap/>
                  <w:vAlign w:val="center"/>
                  <w:hideMark/>
                </w:tcPr>
                <w:p w14:paraId="6B3AFBC6" w14:textId="77777777" w:rsidR="00EF110C" w:rsidRDefault="00EF110C" w:rsidP="00EF110C">
                  <w:pPr>
                    <w:pStyle w:val="TAC"/>
                    <w:rPr>
                      <w:rFonts w:cs="Arial"/>
                      <w:lang w:eastAsia="ja-JP"/>
                    </w:rPr>
                  </w:pPr>
                  <w:r>
                    <w:rPr>
                      <w:rFonts w:cs="Arial"/>
                      <w:lang w:eastAsia="ja-JP"/>
                    </w:rPr>
                    <w:t>180 kHz</w:t>
                  </w:r>
                </w:p>
              </w:tc>
              <w:tc>
                <w:tcPr>
                  <w:tcW w:w="1721" w:type="dxa"/>
                  <w:tcBorders>
                    <w:top w:val="nil"/>
                    <w:left w:val="nil"/>
                    <w:bottom w:val="single" w:sz="4" w:space="0" w:color="auto"/>
                    <w:right w:val="single" w:sz="4" w:space="0" w:color="auto"/>
                  </w:tcBorders>
                  <w:noWrap/>
                  <w:vAlign w:val="center"/>
                  <w:hideMark/>
                </w:tcPr>
                <w:p w14:paraId="50D9C028" w14:textId="77777777" w:rsidR="00EF110C" w:rsidRDefault="00EF110C" w:rsidP="00EF110C">
                  <w:pPr>
                    <w:pStyle w:val="TAC"/>
                    <w:rPr>
                      <w:rFonts w:cs="Arial"/>
                      <w:lang w:eastAsia="ja-JP"/>
                    </w:rPr>
                  </w:pPr>
                  <w:r>
                    <w:rPr>
                      <w:rFonts w:cs="Arial"/>
                      <w:lang w:eastAsia="ja-JP"/>
                    </w:rPr>
                    <w:t>3.84 MHz</w:t>
                  </w:r>
                </w:p>
              </w:tc>
            </w:tr>
            <w:tr w:rsidR="00EF110C" w14:paraId="7DE78C87" w14:textId="77777777" w:rsidTr="00EF110C">
              <w:trPr>
                <w:trHeight w:val="539"/>
                <w:jc w:val="center"/>
              </w:trPr>
              <w:tc>
                <w:tcPr>
                  <w:tcW w:w="4103" w:type="dxa"/>
                  <w:tcBorders>
                    <w:top w:val="nil"/>
                    <w:left w:val="single" w:sz="4" w:space="0" w:color="auto"/>
                    <w:bottom w:val="single" w:sz="4" w:space="0" w:color="auto"/>
                    <w:right w:val="single" w:sz="4" w:space="0" w:color="auto"/>
                  </w:tcBorders>
                  <w:vAlign w:val="center"/>
                  <w:hideMark/>
                </w:tcPr>
                <w:p w14:paraId="3D05ABCD" w14:textId="77777777" w:rsidR="00EF110C" w:rsidRDefault="00EF110C" w:rsidP="00EF110C">
                  <w:pPr>
                    <w:pStyle w:val="TAH"/>
                    <w:rPr>
                      <w:rFonts w:cs="Arial"/>
                      <w:lang w:eastAsia="ja-JP"/>
                    </w:rPr>
                  </w:pPr>
                  <w:r>
                    <w:rPr>
                      <w:rFonts w:cs="Arial"/>
                      <w:lang w:eastAsia="ja-JP"/>
                    </w:rPr>
                    <w:t>Measurement filter</w:t>
                  </w:r>
                </w:p>
              </w:tc>
              <w:tc>
                <w:tcPr>
                  <w:tcW w:w="1309" w:type="dxa"/>
                  <w:tcBorders>
                    <w:top w:val="nil"/>
                    <w:left w:val="nil"/>
                    <w:bottom w:val="single" w:sz="4" w:space="0" w:color="auto"/>
                    <w:right w:val="single" w:sz="4" w:space="0" w:color="auto"/>
                  </w:tcBorders>
                  <w:noWrap/>
                  <w:vAlign w:val="center"/>
                  <w:hideMark/>
                </w:tcPr>
                <w:p w14:paraId="1D9CB429" w14:textId="77777777" w:rsidR="00EF110C" w:rsidRDefault="00EF110C" w:rsidP="00EF110C">
                  <w:pPr>
                    <w:pStyle w:val="TAC"/>
                    <w:rPr>
                      <w:rFonts w:cs="Arial"/>
                      <w:lang w:eastAsia="ja-JP"/>
                    </w:rPr>
                  </w:pPr>
                  <w:r>
                    <w:rPr>
                      <w:rFonts w:cs="Arial"/>
                      <w:lang w:eastAsia="ja-JP"/>
                    </w:rPr>
                    <w:t>Rectangular</w:t>
                  </w:r>
                </w:p>
              </w:tc>
              <w:tc>
                <w:tcPr>
                  <w:tcW w:w="1721" w:type="dxa"/>
                  <w:tcBorders>
                    <w:top w:val="nil"/>
                    <w:left w:val="nil"/>
                    <w:bottom w:val="single" w:sz="4" w:space="0" w:color="auto"/>
                    <w:right w:val="single" w:sz="4" w:space="0" w:color="auto"/>
                  </w:tcBorders>
                  <w:noWrap/>
                  <w:vAlign w:val="center"/>
                  <w:hideMark/>
                </w:tcPr>
                <w:p w14:paraId="1FB856D2" w14:textId="77777777" w:rsidR="00EF110C" w:rsidRDefault="00EF110C" w:rsidP="00EF110C">
                  <w:pPr>
                    <w:pStyle w:val="TAC"/>
                    <w:rPr>
                      <w:rFonts w:cs="Arial"/>
                      <w:lang w:eastAsia="ja-JP"/>
                    </w:rPr>
                  </w:pPr>
                  <w:r>
                    <w:rPr>
                      <w:rFonts w:cs="Arial"/>
                      <w:lang w:eastAsia="ja-JP"/>
                    </w:rPr>
                    <w:t>RRC-filter α=0.22</w:t>
                  </w:r>
                </w:p>
              </w:tc>
            </w:tr>
            <w:tr w:rsidR="00EF110C" w14:paraId="6062B2B5" w14:textId="77777777" w:rsidTr="00EF110C">
              <w:trPr>
                <w:trHeight w:val="509"/>
                <w:jc w:val="center"/>
              </w:trPr>
              <w:tc>
                <w:tcPr>
                  <w:tcW w:w="4103" w:type="dxa"/>
                  <w:tcBorders>
                    <w:top w:val="single" w:sz="4" w:space="0" w:color="auto"/>
                    <w:left w:val="single" w:sz="4" w:space="0" w:color="auto"/>
                    <w:bottom w:val="single" w:sz="4" w:space="0" w:color="auto"/>
                    <w:right w:val="single" w:sz="4" w:space="0" w:color="auto"/>
                  </w:tcBorders>
                  <w:vAlign w:val="center"/>
                  <w:hideMark/>
                </w:tcPr>
                <w:p w14:paraId="370719DE" w14:textId="77777777" w:rsidR="00EF110C" w:rsidRDefault="00EF110C" w:rsidP="00EF110C">
                  <w:pPr>
                    <w:pStyle w:val="TAH"/>
                    <w:rPr>
                      <w:rFonts w:cs="Arial"/>
                      <w:lang w:eastAsia="ja-JP"/>
                    </w:rPr>
                  </w:pPr>
                  <w:r>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noWrap/>
                  <w:vAlign w:val="center"/>
                  <w:hideMark/>
                </w:tcPr>
                <w:p w14:paraId="2678392F" w14:textId="77777777" w:rsidR="00EF110C" w:rsidRDefault="00EF110C" w:rsidP="00EF110C">
                  <w:pPr>
                    <w:pStyle w:val="TAC"/>
                    <w:rPr>
                      <w:rFonts w:cs="Arial"/>
                      <w:lang w:eastAsia="ja-JP"/>
                    </w:rPr>
                  </w:pPr>
                  <w:r>
                    <w:rPr>
                      <w:rFonts w:cs="Arial"/>
                      <w:lang w:eastAsia="ja-JP"/>
                    </w:rPr>
                    <w:t>180 kHz</w:t>
                  </w:r>
                </w:p>
              </w:tc>
              <w:tc>
                <w:tcPr>
                  <w:tcW w:w="1721" w:type="dxa"/>
                  <w:tcBorders>
                    <w:top w:val="single" w:sz="4" w:space="0" w:color="auto"/>
                    <w:left w:val="nil"/>
                    <w:bottom w:val="single" w:sz="4" w:space="0" w:color="auto"/>
                    <w:right w:val="single" w:sz="4" w:space="0" w:color="auto"/>
                  </w:tcBorders>
                  <w:noWrap/>
                  <w:vAlign w:val="center"/>
                  <w:hideMark/>
                </w:tcPr>
                <w:p w14:paraId="6D368A40" w14:textId="77777777" w:rsidR="00EF110C" w:rsidRDefault="00EF110C" w:rsidP="00EF110C">
                  <w:pPr>
                    <w:pStyle w:val="TAC"/>
                    <w:rPr>
                      <w:rFonts w:cs="Arial"/>
                      <w:lang w:eastAsia="ja-JP"/>
                    </w:rPr>
                  </w:pPr>
                  <w:r>
                    <w:rPr>
                      <w:rFonts w:cs="Arial"/>
                      <w:lang w:eastAsia="ja-JP"/>
                    </w:rPr>
                    <w:t>180 kHz</w:t>
                  </w:r>
                </w:p>
              </w:tc>
            </w:tr>
            <w:tr w:rsidR="00EF110C" w14:paraId="00CBFB66" w14:textId="77777777" w:rsidTr="00EF110C">
              <w:trPr>
                <w:trHeight w:val="558"/>
                <w:jc w:val="center"/>
              </w:trPr>
              <w:tc>
                <w:tcPr>
                  <w:tcW w:w="4103" w:type="dxa"/>
                  <w:tcBorders>
                    <w:top w:val="single" w:sz="4" w:space="0" w:color="auto"/>
                    <w:left w:val="single" w:sz="4" w:space="0" w:color="auto"/>
                    <w:bottom w:val="single" w:sz="4" w:space="0" w:color="auto"/>
                    <w:right w:val="single" w:sz="4" w:space="0" w:color="auto"/>
                  </w:tcBorders>
                  <w:vAlign w:val="center"/>
                  <w:hideMark/>
                </w:tcPr>
                <w:p w14:paraId="456EB487" w14:textId="77777777" w:rsidR="00EF110C" w:rsidRDefault="00EF110C" w:rsidP="00EF110C">
                  <w:pPr>
                    <w:pStyle w:val="TAH"/>
                    <w:rPr>
                      <w:rFonts w:cs="Arial"/>
                      <w:lang w:eastAsia="ja-JP"/>
                    </w:rPr>
                  </w:pPr>
                  <w:r>
                    <w:rPr>
                      <w:rFonts w:cs="Arial"/>
                      <w:lang w:val="en-US" w:eastAsia="ja-JP"/>
                    </w:rPr>
                    <w:t xml:space="preserve">Category NB1 and NB2 channel </w:t>
                  </w:r>
                  <w:r>
                    <w:rPr>
                      <w:rFonts w:cs="Arial"/>
                      <w:lang w:eastAsia="ja-JP"/>
                    </w:rPr>
                    <w:t>Measurement filter</w:t>
                  </w:r>
                </w:p>
              </w:tc>
              <w:tc>
                <w:tcPr>
                  <w:tcW w:w="1309" w:type="dxa"/>
                  <w:tcBorders>
                    <w:top w:val="single" w:sz="4" w:space="0" w:color="auto"/>
                    <w:left w:val="nil"/>
                    <w:bottom w:val="single" w:sz="4" w:space="0" w:color="auto"/>
                    <w:right w:val="single" w:sz="4" w:space="0" w:color="auto"/>
                  </w:tcBorders>
                  <w:noWrap/>
                  <w:vAlign w:val="center"/>
                  <w:hideMark/>
                </w:tcPr>
                <w:p w14:paraId="431072AA" w14:textId="77777777" w:rsidR="00EF110C" w:rsidRDefault="00EF110C" w:rsidP="00EF110C">
                  <w:pPr>
                    <w:pStyle w:val="TAC"/>
                    <w:rPr>
                      <w:rFonts w:cs="Arial"/>
                      <w:lang w:eastAsia="ja-JP"/>
                    </w:rPr>
                  </w:pPr>
                  <w:r>
                    <w:rPr>
                      <w:rFonts w:cs="Arial"/>
                      <w:lang w:eastAsia="ja-JP"/>
                    </w:rPr>
                    <w:t>Rectangular</w:t>
                  </w:r>
                </w:p>
              </w:tc>
              <w:tc>
                <w:tcPr>
                  <w:tcW w:w="1721" w:type="dxa"/>
                  <w:tcBorders>
                    <w:top w:val="single" w:sz="4" w:space="0" w:color="auto"/>
                    <w:left w:val="nil"/>
                    <w:bottom w:val="single" w:sz="4" w:space="0" w:color="auto"/>
                    <w:right w:val="single" w:sz="4" w:space="0" w:color="auto"/>
                  </w:tcBorders>
                  <w:noWrap/>
                  <w:vAlign w:val="center"/>
                  <w:hideMark/>
                </w:tcPr>
                <w:p w14:paraId="690BB281" w14:textId="77777777" w:rsidR="00EF110C" w:rsidRDefault="00EF110C" w:rsidP="00EF110C">
                  <w:pPr>
                    <w:pStyle w:val="TAC"/>
                    <w:rPr>
                      <w:rFonts w:cs="Arial"/>
                      <w:lang w:eastAsia="ja-JP"/>
                    </w:rPr>
                  </w:pPr>
                  <w:r>
                    <w:rPr>
                      <w:rFonts w:cs="Arial"/>
                      <w:lang w:eastAsia="ja-JP"/>
                    </w:rPr>
                    <w:t>Rectangular</w:t>
                  </w:r>
                </w:p>
              </w:tc>
            </w:tr>
          </w:tbl>
          <w:p w14:paraId="0C29D3A2" w14:textId="77777777" w:rsidR="00A63E82" w:rsidRDefault="00A63E82" w:rsidP="00464BB0">
            <w:pPr>
              <w:rPr>
                <w:rFonts w:eastAsia="新細明體"/>
                <w:lang w:eastAsia="zh-TW"/>
              </w:rPr>
            </w:pPr>
          </w:p>
        </w:tc>
      </w:tr>
    </w:tbl>
    <w:p w14:paraId="63FAAFE4" w14:textId="77777777" w:rsidR="00A82072" w:rsidRDefault="00A82072" w:rsidP="00464BB0">
      <w:pPr>
        <w:rPr>
          <w:rFonts w:eastAsia="新細明體"/>
          <w:lang w:eastAsia="zh-TW"/>
        </w:rPr>
      </w:pPr>
    </w:p>
    <w:bookmarkEnd w:id="17"/>
    <w:p w14:paraId="1F58347A" w14:textId="4B9C9D32" w:rsidR="00443A72" w:rsidRDefault="00A63E82" w:rsidP="00464BB0">
      <w:pPr>
        <w:rPr>
          <w:rFonts w:eastAsia="新細明體"/>
          <w:lang w:eastAsia="zh-TW"/>
        </w:rPr>
      </w:pPr>
      <w:r>
        <w:rPr>
          <w:rFonts w:eastAsia="新細明體"/>
          <w:lang w:eastAsia="zh-TW"/>
        </w:rPr>
        <w:t>Additionally, b</w:t>
      </w:r>
      <w:r w:rsidR="00443A72">
        <w:rPr>
          <w:rFonts w:eastAsia="新細明體"/>
          <w:lang w:eastAsia="zh-TW"/>
        </w:rPr>
        <w:t>ased on</w:t>
      </w:r>
      <w:bookmarkStart w:id="18" w:name="OLE_LINK42"/>
      <w:r w:rsidR="00443A72">
        <w:rPr>
          <w:rFonts w:eastAsia="新細明體"/>
          <w:lang w:eastAsia="zh-TW"/>
        </w:rPr>
        <w:t xml:space="preserve"> R4-</w:t>
      </w:r>
      <w:r w:rsidR="004E1BAC">
        <w:rPr>
          <w:rFonts w:eastAsia="新細明體"/>
          <w:lang w:eastAsia="zh-TW"/>
        </w:rPr>
        <w:t>241</w:t>
      </w:r>
      <w:r w:rsidR="00311F95">
        <w:rPr>
          <w:rFonts w:eastAsia="新細明體"/>
          <w:lang w:eastAsia="zh-TW"/>
        </w:rPr>
        <w:t>5963</w:t>
      </w:r>
      <w:r>
        <w:rPr>
          <w:rFonts w:eastAsia="新細明體"/>
          <w:lang w:eastAsia="zh-TW"/>
        </w:rPr>
        <w:t xml:space="preserve"> </w:t>
      </w:r>
      <w:r w:rsidR="00443A72">
        <w:rPr>
          <w:rFonts w:eastAsia="新細明體"/>
          <w:lang w:eastAsia="zh-TW"/>
        </w:rPr>
        <w:t>[</w:t>
      </w:r>
      <w:r w:rsidR="00311F95">
        <w:rPr>
          <w:rFonts w:eastAsia="新細明體"/>
          <w:lang w:eastAsia="zh-TW"/>
        </w:rPr>
        <w:t>5</w:t>
      </w:r>
      <w:r w:rsidR="00443A72">
        <w:rPr>
          <w:rFonts w:eastAsia="新細明體"/>
          <w:lang w:eastAsia="zh-TW"/>
        </w:rPr>
        <w:t xml:space="preserve">] </w:t>
      </w:r>
      <w:r w:rsidR="00B05DB1" w:rsidRPr="00B05DB1">
        <w:rPr>
          <w:rFonts w:eastAsia="新細明體"/>
          <w:lang w:eastAsia="zh-TW"/>
        </w:rPr>
        <w:t xml:space="preserve">NTN-TN coexistence </w:t>
      </w:r>
      <w:r w:rsidR="00443A72">
        <w:rPr>
          <w:rFonts w:eastAsia="新細明體"/>
          <w:lang w:eastAsia="zh-TW"/>
        </w:rPr>
        <w:t>evaluation</w:t>
      </w:r>
      <w:r w:rsidR="00D4558C">
        <w:rPr>
          <w:rFonts w:eastAsia="新細明體"/>
          <w:lang w:eastAsia="zh-TW"/>
        </w:rPr>
        <w:t xml:space="preserve">s, </w:t>
      </w:r>
      <w:r w:rsidR="00FD1699">
        <w:rPr>
          <w:rFonts w:eastAsia="新細明體"/>
          <w:lang w:eastAsia="zh-TW"/>
        </w:rPr>
        <w:t>th</w:t>
      </w:r>
      <w:r>
        <w:rPr>
          <w:rFonts w:eastAsia="新細明體"/>
          <w:lang w:eastAsia="zh-TW"/>
        </w:rPr>
        <w:t>e</w:t>
      </w:r>
      <w:r w:rsidR="00FD1699">
        <w:rPr>
          <w:rFonts w:eastAsia="新細明體"/>
          <w:lang w:eastAsia="zh-TW"/>
        </w:rPr>
        <w:t xml:space="preserve"> evaluation</w:t>
      </w:r>
      <w:r w:rsidR="00D4558C">
        <w:rPr>
          <w:rFonts w:eastAsia="新細明體"/>
          <w:lang w:eastAsia="zh-TW"/>
        </w:rPr>
        <w:t xml:space="preserve"> show</w:t>
      </w:r>
      <w:r>
        <w:rPr>
          <w:rFonts w:eastAsia="新細明體"/>
          <w:lang w:eastAsia="zh-TW"/>
        </w:rPr>
        <w:t>s</w:t>
      </w:r>
      <w:r w:rsidR="00D4558C">
        <w:rPr>
          <w:rFonts w:eastAsia="新細明體"/>
          <w:lang w:eastAsia="zh-TW"/>
        </w:rPr>
        <w:t xml:space="preserve"> that </w:t>
      </w:r>
      <w:r>
        <w:rPr>
          <w:rFonts w:eastAsia="新細明體"/>
          <w:lang w:eastAsia="zh-TW"/>
        </w:rPr>
        <w:t>IoT</w:t>
      </w:r>
      <w:r w:rsidR="00362B31">
        <w:rPr>
          <w:rFonts w:eastAsia="新細明體"/>
          <w:lang w:eastAsia="zh-TW"/>
        </w:rPr>
        <w:t>-</w:t>
      </w:r>
      <w:r w:rsidR="00D4558C">
        <w:rPr>
          <w:rFonts w:eastAsia="新細明體"/>
          <w:lang w:eastAsia="zh-TW"/>
        </w:rPr>
        <w:t xml:space="preserve">NTN ACLR </w:t>
      </w:r>
      <w:r w:rsidR="00BA506D">
        <w:rPr>
          <w:rFonts w:eastAsia="新細明體"/>
          <w:lang w:eastAsia="zh-TW"/>
        </w:rPr>
        <w:t>value</w:t>
      </w:r>
      <w:r w:rsidR="00FD1699">
        <w:rPr>
          <w:rFonts w:eastAsia="新細明體"/>
          <w:lang w:eastAsia="zh-TW"/>
        </w:rPr>
        <w:t>s</w:t>
      </w:r>
      <w:r w:rsidR="00BA506D">
        <w:rPr>
          <w:rFonts w:eastAsia="新細明體"/>
          <w:lang w:eastAsia="zh-TW"/>
        </w:rPr>
        <w:t xml:space="preserve"> </w:t>
      </w:r>
      <w:r w:rsidR="00D4558C">
        <w:rPr>
          <w:rFonts w:eastAsia="新細明體"/>
          <w:lang w:eastAsia="zh-TW"/>
        </w:rPr>
        <w:t xml:space="preserve">can be lower than </w:t>
      </w:r>
      <w:r w:rsidR="00311F95">
        <w:rPr>
          <w:rFonts w:eastAsia="新細明體"/>
          <w:lang w:eastAsia="zh-TW"/>
        </w:rPr>
        <w:t>15</w:t>
      </w:r>
      <w:r w:rsidR="00D4558C">
        <w:rPr>
          <w:rFonts w:eastAsia="新細明體"/>
          <w:lang w:eastAsia="zh-TW"/>
        </w:rPr>
        <w:t>dB for PC2 to PC1</w:t>
      </w:r>
      <w:r w:rsidR="007B73C5">
        <w:rPr>
          <w:rFonts w:eastAsia="新細明體"/>
          <w:lang w:eastAsia="zh-TW"/>
        </w:rPr>
        <w:t xml:space="preserve"> </w:t>
      </w:r>
      <w:r w:rsidR="00D22F09">
        <w:rPr>
          <w:rFonts w:eastAsia="新細明體"/>
          <w:lang w:eastAsia="zh-TW"/>
        </w:rPr>
        <w:t xml:space="preserve">HPUE </w:t>
      </w:r>
      <w:r w:rsidR="007B73C5">
        <w:rPr>
          <w:rFonts w:eastAsia="新細明體"/>
          <w:lang w:eastAsia="zh-TW"/>
        </w:rPr>
        <w:t xml:space="preserve">due to sufficient ISD protection. </w:t>
      </w:r>
    </w:p>
    <w:p w14:paraId="13BE2803" w14:textId="77777777" w:rsidR="00A82072" w:rsidRDefault="00A82072" w:rsidP="00464BB0">
      <w:pPr>
        <w:rPr>
          <w:rFonts w:eastAsia="新細明體"/>
          <w:lang w:eastAsia="zh-TW"/>
        </w:rPr>
      </w:pPr>
    </w:p>
    <w:tbl>
      <w:tblPr>
        <w:tblStyle w:val="afb"/>
        <w:tblW w:w="0" w:type="auto"/>
        <w:tblLook w:val="04A0" w:firstRow="1" w:lastRow="0" w:firstColumn="1" w:lastColumn="0" w:noHBand="0" w:noVBand="1"/>
      </w:tblPr>
      <w:tblGrid>
        <w:gridCol w:w="4814"/>
        <w:gridCol w:w="4815"/>
      </w:tblGrid>
      <w:tr w:rsidR="00311F95" w14:paraId="28546746" w14:textId="77777777" w:rsidTr="00311F95">
        <w:tc>
          <w:tcPr>
            <w:tcW w:w="9629" w:type="dxa"/>
            <w:gridSpan w:val="2"/>
            <w:tcBorders>
              <w:bottom w:val="nil"/>
            </w:tcBorders>
          </w:tcPr>
          <w:p w14:paraId="2E2DA65F" w14:textId="7B4DC6D6" w:rsidR="00311F95" w:rsidRPr="00311F95" w:rsidRDefault="00311F95" w:rsidP="00311F95">
            <w:pPr>
              <w:jc w:val="both"/>
              <w:rPr>
                <w:rFonts w:hint="eastAsia"/>
                <w:b/>
                <w:bCs/>
                <w:sz w:val="24"/>
                <w:szCs w:val="24"/>
                <w:lang w:val="en-US"/>
              </w:rPr>
            </w:pPr>
            <w:r>
              <w:rPr>
                <w:rFonts w:eastAsia="新細明體"/>
                <w:b/>
                <w:bCs/>
                <w:sz w:val="24"/>
                <w:szCs w:val="24"/>
                <w:lang w:eastAsia="zh-TW"/>
              </w:rPr>
              <w:t xml:space="preserve">R4-2415963[5] contents below for reference: </w:t>
            </w:r>
          </w:p>
        </w:tc>
      </w:tr>
      <w:tr w:rsidR="00311F95" w14:paraId="7D07B943" w14:textId="77777777" w:rsidTr="00311F95">
        <w:tc>
          <w:tcPr>
            <w:tcW w:w="4814" w:type="dxa"/>
            <w:tcBorders>
              <w:top w:val="nil"/>
              <w:right w:val="nil"/>
            </w:tcBorders>
          </w:tcPr>
          <w:p w14:paraId="493297DD" w14:textId="3BD14950" w:rsidR="00311F95" w:rsidRDefault="00311F95" w:rsidP="00311F95">
            <w:pPr>
              <w:jc w:val="center"/>
            </w:pPr>
            <w:bookmarkStart w:id="19" w:name="OLE_LINK29"/>
            <w:r>
              <w:rPr>
                <w:noProof/>
              </w:rPr>
              <w:drawing>
                <wp:inline distT="0" distB="0" distL="0" distR="0" wp14:anchorId="1DEDDC8C" wp14:editId="1A43F3CD">
                  <wp:extent cx="2576199" cy="19685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7856" cy="1985048"/>
                          </a:xfrm>
                          <a:prstGeom prst="rect">
                            <a:avLst/>
                          </a:prstGeom>
                          <a:noFill/>
                          <a:ln>
                            <a:noFill/>
                          </a:ln>
                        </pic:spPr>
                      </pic:pic>
                    </a:graphicData>
                  </a:graphic>
                </wp:inline>
              </w:drawing>
            </w:r>
          </w:p>
          <w:p w14:paraId="34F8CB2F" w14:textId="77777777" w:rsidR="00311F95" w:rsidRDefault="00311F95" w:rsidP="00311F95">
            <w:pPr>
              <w:pStyle w:val="af1"/>
              <w:jc w:val="center"/>
            </w:pPr>
            <w:r>
              <w:t xml:space="preserve">Figure </w:t>
            </w:r>
            <w:r>
              <w:fldChar w:fldCharType="begin"/>
            </w:r>
            <w:r>
              <w:instrText xml:space="preserve"> SEQ Figure \* ARABIC </w:instrText>
            </w:r>
            <w:r>
              <w:fldChar w:fldCharType="separate"/>
            </w:r>
            <w:r>
              <w:rPr>
                <w:noProof/>
              </w:rPr>
              <w:t>6</w:t>
            </w:r>
            <w:r>
              <w:fldChar w:fldCharType="end"/>
            </w:r>
            <w:r>
              <w:t xml:space="preserve">: TN UL Throughput loss ratio with </w:t>
            </w:r>
            <w:proofErr w:type="spellStart"/>
            <w:r>
              <w:t>nAAS</w:t>
            </w:r>
            <w:proofErr w:type="spellEnd"/>
            <w:r>
              <w:t xml:space="preserve"> @ GEO IoT-NTN</w:t>
            </w:r>
            <w:bookmarkEnd w:id="19"/>
          </w:p>
          <w:p w14:paraId="490ABD53" w14:textId="77777777" w:rsidR="00311F95" w:rsidRDefault="00311F95" w:rsidP="00464BB0">
            <w:pPr>
              <w:rPr>
                <w:rFonts w:eastAsia="新細明體" w:hint="eastAsia"/>
                <w:lang w:eastAsia="zh-TW"/>
              </w:rPr>
            </w:pPr>
          </w:p>
        </w:tc>
        <w:tc>
          <w:tcPr>
            <w:tcW w:w="4815" w:type="dxa"/>
            <w:tcBorders>
              <w:top w:val="nil"/>
              <w:left w:val="nil"/>
            </w:tcBorders>
          </w:tcPr>
          <w:p w14:paraId="77F22117" w14:textId="3BEACB3A" w:rsidR="00311F95" w:rsidRDefault="00311F95" w:rsidP="00311F95">
            <w:pPr>
              <w:jc w:val="center"/>
            </w:pPr>
            <w:r>
              <w:rPr>
                <w:noProof/>
              </w:rPr>
              <w:drawing>
                <wp:inline distT="0" distB="0" distL="0" distR="0" wp14:anchorId="76FD8C09" wp14:editId="52477442">
                  <wp:extent cx="2623414" cy="2063750"/>
                  <wp:effectExtent l="0" t="0" r="571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6313" cy="2081764"/>
                          </a:xfrm>
                          <a:prstGeom prst="rect">
                            <a:avLst/>
                          </a:prstGeom>
                          <a:noFill/>
                          <a:ln>
                            <a:noFill/>
                          </a:ln>
                        </pic:spPr>
                      </pic:pic>
                    </a:graphicData>
                  </a:graphic>
                </wp:inline>
              </w:drawing>
            </w:r>
          </w:p>
          <w:p w14:paraId="1EEC57E2" w14:textId="77777777" w:rsidR="00311F95" w:rsidRDefault="00311F95" w:rsidP="00311F95">
            <w:pPr>
              <w:pStyle w:val="af1"/>
              <w:jc w:val="center"/>
            </w:pPr>
            <w:r>
              <w:t xml:space="preserve">Figure </w:t>
            </w:r>
            <w:r>
              <w:fldChar w:fldCharType="begin"/>
            </w:r>
            <w:r>
              <w:instrText xml:space="preserve"> SEQ Figure \* ARABIC </w:instrText>
            </w:r>
            <w:r>
              <w:fldChar w:fldCharType="separate"/>
            </w:r>
            <w:r>
              <w:rPr>
                <w:noProof/>
              </w:rPr>
              <w:t>7</w:t>
            </w:r>
            <w:r>
              <w:fldChar w:fldCharType="end"/>
            </w:r>
            <w:r>
              <w:t xml:space="preserve">: TN UL Throughput loss ratio with </w:t>
            </w:r>
            <w:proofErr w:type="spellStart"/>
            <w:r>
              <w:t>nAAS</w:t>
            </w:r>
            <w:proofErr w:type="spellEnd"/>
            <w:r>
              <w:t xml:space="preserve"> @ LEO1200 IoT-NTN</w:t>
            </w:r>
          </w:p>
          <w:p w14:paraId="3C0DEB46" w14:textId="77777777" w:rsidR="00311F95" w:rsidRDefault="00311F95" w:rsidP="00464BB0">
            <w:pPr>
              <w:rPr>
                <w:rFonts w:eastAsia="新細明體" w:hint="eastAsia"/>
                <w:lang w:eastAsia="zh-TW"/>
              </w:rPr>
            </w:pPr>
          </w:p>
        </w:tc>
      </w:tr>
    </w:tbl>
    <w:p w14:paraId="263A0591" w14:textId="77777777" w:rsidR="00311F95" w:rsidRDefault="00311F95" w:rsidP="00464BB0">
      <w:pPr>
        <w:rPr>
          <w:rFonts w:eastAsia="新細明體" w:hint="eastAsia"/>
          <w:lang w:eastAsia="zh-TW"/>
        </w:rPr>
      </w:pPr>
    </w:p>
    <w:p w14:paraId="7983FF13" w14:textId="77777777" w:rsidR="0002045F" w:rsidRDefault="0002045F" w:rsidP="00464BB0">
      <w:pPr>
        <w:rPr>
          <w:rFonts w:eastAsia="新細明體"/>
          <w:lang w:eastAsia="zh-TW"/>
        </w:rPr>
      </w:pPr>
    </w:p>
    <w:p w14:paraId="6C41C10C" w14:textId="4B4B329B" w:rsidR="00464BB0" w:rsidRDefault="00F070F6" w:rsidP="00464BB0">
      <w:pPr>
        <w:rPr>
          <w:b/>
          <w:bCs/>
          <w:i/>
          <w:iCs/>
        </w:rPr>
      </w:pPr>
      <w:bookmarkStart w:id="20" w:name="OLE_LINK212"/>
      <w:bookmarkStart w:id="21" w:name="OLE_LINK247"/>
      <w:bookmarkStart w:id="22" w:name="OLE_LINK31"/>
      <w:bookmarkEnd w:id="18"/>
      <w:r w:rsidRPr="00F070F6">
        <w:rPr>
          <w:b/>
          <w:bCs/>
          <w:i/>
          <w:iCs/>
        </w:rPr>
        <w:lastRenderedPageBreak/>
        <w:t xml:space="preserve">Observation 1: Based on </w:t>
      </w:r>
      <w:r w:rsidR="00362B31" w:rsidRPr="00362B31">
        <w:rPr>
          <w:b/>
          <w:bCs/>
          <w:i/>
          <w:iCs/>
        </w:rPr>
        <w:t>R4-</w:t>
      </w:r>
      <w:r w:rsidR="00D46EC6">
        <w:rPr>
          <w:b/>
          <w:bCs/>
          <w:i/>
          <w:iCs/>
        </w:rPr>
        <w:t>241</w:t>
      </w:r>
      <w:r w:rsidR="00DA3609">
        <w:rPr>
          <w:b/>
          <w:bCs/>
          <w:i/>
          <w:iCs/>
        </w:rPr>
        <w:t>5963</w:t>
      </w:r>
      <w:r w:rsidR="00362B31" w:rsidRPr="00362B31">
        <w:rPr>
          <w:b/>
          <w:bCs/>
          <w:i/>
          <w:iCs/>
        </w:rPr>
        <w:t>[</w:t>
      </w:r>
      <w:r w:rsidR="00B434EB">
        <w:rPr>
          <w:b/>
          <w:bCs/>
          <w:i/>
          <w:iCs/>
        </w:rPr>
        <w:t>5</w:t>
      </w:r>
      <w:r w:rsidR="00362B31" w:rsidRPr="00362B31">
        <w:rPr>
          <w:b/>
          <w:bCs/>
          <w:i/>
          <w:iCs/>
        </w:rPr>
        <w:t xml:space="preserve">] </w:t>
      </w:r>
      <w:bookmarkStart w:id="23" w:name="OLE_LINK43"/>
      <w:r w:rsidR="00B05DB1">
        <w:rPr>
          <w:b/>
          <w:bCs/>
          <w:i/>
          <w:iCs/>
        </w:rPr>
        <w:t>NTN-TN coexistence</w:t>
      </w:r>
      <w:bookmarkEnd w:id="23"/>
      <w:r w:rsidR="00B05DB1">
        <w:rPr>
          <w:b/>
          <w:bCs/>
          <w:i/>
          <w:iCs/>
        </w:rPr>
        <w:t xml:space="preserve"> </w:t>
      </w:r>
      <w:r w:rsidR="00362B31" w:rsidRPr="00362B31">
        <w:rPr>
          <w:b/>
          <w:bCs/>
          <w:i/>
          <w:iCs/>
        </w:rPr>
        <w:t xml:space="preserve">evaluation, </w:t>
      </w:r>
      <w:r w:rsidR="00FD1699">
        <w:rPr>
          <w:b/>
          <w:bCs/>
          <w:i/>
          <w:iCs/>
        </w:rPr>
        <w:t>th</w:t>
      </w:r>
      <w:r w:rsidR="00A550AB">
        <w:rPr>
          <w:b/>
          <w:bCs/>
          <w:i/>
          <w:iCs/>
        </w:rPr>
        <w:t>e</w:t>
      </w:r>
      <w:r w:rsidR="00FD1699">
        <w:rPr>
          <w:b/>
          <w:bCs/>
          <w:i/>
          <w:iCs/>
        </w:rPr>
        <w:t xml:space="preserve"> evaluation</w:t>
      </w:r>
      <w:r w:rsidR="00362B31" w:rsidRPr="00362B31">
        <w:rPr>
          <w:b/>
          <w:bCs/>
          <w:i/>
          <w:iCs/>
        </w:rPr>
        <w:t xml:space="preserve"> show</w:t>
      </w:r>
      <w:r w:rsidR="00A550AB">
        <w:rPr>
          <w:b/>
          <w:bCs/>
          <w:i/>
          <w:iCs/>
        </w:rPr>
        <w:t>s</w:t>
      </w:r>
      <w:r w:rsidR="00362B31" w:rsidRPr="00362B31">
        <w:rPr>
          <w:b/>
          <w:bCs/>
          <w:i/>
          <w:iCs/>
        </w:rPr>
        <w:t xml:space="preserve"> that </w:t>
      </w:r>
      <w:r w:rsidR="00A550AB">
        <w:rPr>
          <w:b/>
          <w:bCs/>
          <w:i/>
          <w:iCs/>
        </w:rPr>
        <w:t>IoT</w:t>
      </w:r>
      <w:r w:rsidR="00362B31">
        <w:rPr>
          <w:b/>
          <w:bCs/>
          <w:i/>
          <w:iCs/>
        </w:rPr>
        <w:t>-</w:t>
      </w:r>
      <w:r w:rsidR="00362B31" w:rsidRPr="00362B31">
        <w:rPr>
          <w:b/>
          <w:bCs/>
          <w:i/>
          <w:iCs/>
        </w:rPr>
        <w:t xml:space="preserve">NTN ACLR </w:t>
      </w:r>
      <w:r w:rsidR="00D46EC6">
        <w:rPr>
          <w:b/>
          <w:bCs/>
          <w:i/>
          <w:iCs/>
        </w:rPr>
        <w:t>value</w:t>
      </w:r>
      <w:r w:rsidR="00FD1699">
        <w:rPr>
          <w:b/>
          <w:bCs/>
          <w:i/>
          <w:iCs/>
        </w:rPr>
        <w:t>s</w:t>
      </w:r>
      <w:r w:rsidR="00D46EC6">
        <w:rPr>
          <w:b/>
          <w:bCs/>
          <w:i/>
          <w:iCs/>
        </w:rPr>
        <w:t xml:space="preserve"> </w:t>
      </w:r>
      <w:r w:rsidR="00362B31" w:rsidRPr="00362B31">
        <w:rPr>
          <w:b/>
          <w:bCs/>
          <w:i/>
          <w:iCs/>
        </w:rPr>
        <w:t xml:space="preserve">can be lower than </w:t>
      </w:r>
      <w:r w:rsidR="00DA3609">
        <w:rPr>
          <w:b/>
          <w:bCs/>
          <w:i/>
          <w:iCs/>
        </w:rPr>
        <w:t>15</w:t>
      </w:r>
      <w:r w:rsidR="00362B31" w:rsidRPr="00362B31">
        <w:rPr>
          <w:b/>
          <w:bCs/>
          <w:i/>
          <w:iCs/>
        </w:rPr>
        <w:t>dB for PC2 to PC1</w:t>
      </w:r>
      <w:r w:rsidR="00E76801">
        <w:rPr>
          <w:b/>
          <w:bCs/>
          <w:i/>
          <w:iCs/>
        </w:rPr>
        <w:t xml:space="preserve"> </w:t>
      </w:r>
      <w:r w:rsidR="00D46EC6">
        <w:rPr>
          <w:b/>
          <w:bCs/>
          <w:i/>
          <w:iCs/>
        </w:rPr>
        <w:t xml:space="preserve">HPUE </w:t>
      </w:r>
      <w:r w:rsidR="00E76801">
        <w:rPr>
          <w:b/>
          <w:bCs/>
          <w:i/>
          <w:iCs/>
        </w:rPr>
        <w:t>due to sufficient ISD protection</w:t>
      </w:r>
      <w:r w:rsidR="00362B31" w:rsidRPr="00362B31">
        <w:rPr>
          <w:b/>
          <w:bCs/>
          <w:i/>
          <w:iCs/>
        </w:rPr>
        <w:t>.</w:t>
      </w:r>
    </w:p>
    <w:bookmarkEnd w:id="22"/>
    <w:p w14:paraId="3D87EFB6" w14:textId="77777777" w:rsidR="00A82072" w:rsidRPr="00A550AB" w:rsidRDefault="00A82072" w:rsidP="00464BB0">
      <w:pPr>
        <w:rPr>
          <w:rFonts w:eastAsia="新細明體"/>
          <w:lang w:eastAsia="zh-TW"/>
        </w:rPr>
      </w:pPr>
    </w:p>
    <w:p w14:paraId="3A932AEB" w14:textId="77777777" w:rsidR="00796D36" w:rsidRDefault="00796D36" w:rsidP="00796D36">
      <w:pPr>
        <w:rPr>
          <w:b/>
          <w:bCs/>
          <w:i/>
          <w:iCs/>
        </w:rPr>
      </w:pPr>
      <w:bookmarkStart w:id="24" w:name="OLE_LINK241"/>
      <w:bookmarkStart w:id="25" w:name="OLE_LINK45"/>
      <w:bookmarkStart w:id="26" w:name="OLE_LINK237"/>
      <w:bookmarkStart w:id="27" w:name="OLE_LINK131"/>
      <w:bookmarkStart w:id="28" w:name="OLE_LINK95"/>
      <w:bookmarkStart w:id="29" w:name="OLE_LINK139"/>
      <w:bookmarkStart w:id="30" w:name="OLE_LINK146"/>
      <w:bookmarkEnd w:id="20"/>
      <w:bookmarkEnd w:id="21"/>
      <w:r>
        <w:rPr>
          <w:b/>
          <w:bCs/>
          <w:i/>
          <w:iCs/>
        </w:rPr>
        <w:t xml:space="preserve">Proposal 1: Discuss whether to reuse IoT-NTN PC3 ACLR values for PC2, PC1.5, and PC1 ACLR because the NTN-TN coexistence evaluation [5] shows IoT-NTN ACLR values can be lower than 15dB for PC2 to PC1 HPUE.  </w:t>
      </w:r>
    </w:p>
    <w:p w14:paraId="1C2AE3DD" w14:textId="77777777" w:rsidR="00721F3C" w:rsidRPr="00796D36" w:rsidRDefault="00721F3C" w:rsidP="008821F9">
      <w:pPr>
        <w:rPr>
          <w:rFonts w:eastAsia="新細明體"/>
          <w:lang w:eastAsia="zh-TW"/>
        </w:rPr>
      </w:pPr>
    </w:p>
    <w:p w14:paraId="00C22EB0" w14:textId="48FEB184" w:rsidR="002C2609" w:rsidRDefault="002C2609" w:rsidP="002C2609">
      <w:pPr>
        <w:rPr>
          <w:rFonts w:eastAsia="新細明體"/>
          <w:lang w:eastAsia="zh-TW"/>
        </w:rPr>
      </w:pPr>
      <w:bookmarkStart w:id="31" w:name="OLE_LINK61"/>
      <w:bookmarkStart w:id="32" w:name="OLE_LINK87"/>
      <w:bookmarkEnd w:id="24"/>
      <w:bookmarkEnd w:id="25"/>
      <w:bookmarkEnd w:id="26"/>
      <w:bookmarkEnd w:id="27"/>
      <w:bookmarkEnd w:id="28"/>
      <w:bookmarkEnd w:id="29"/>
      <w:bookmarkEnd w:id="30"/>
      <w:r>
        <w:rPr>
          <w:rFonts w:eastAsia="新細明體"/>
          <w:lang w:eastAsia="zh-TW"/>
        </w:rPr>
        <w:t>Regarding SEM for IoT-NTN HPUE, we think that some SEM requirements could be reused for PC2 for narrow CBW.</w:t>
      </w:r>
      <w:bookmarkStart w:id="33" w:name="OLE_LINK82"/>
      <w:r>
        <w:rPr>
          <w:rFonts w:eastAsia="新細明體"/>
          <w:lang w:eastAsia="zh-TW"/>
        </w:rPr>
        <w:t xml:space="preserve"> But if the existing SEM requirements are more stringent than the PC2, PC1.5 and PC1 ACLR requirements (e.g., ACLR of 30dB for PC2 to PC1), we suggest discussing whether SEM requirements would be relaxed. </w:t>
      </w:r>
      <w:bookmarkEnd w:id="31"/>
      <w:bookmarkEnd w:id="33"/>
    </w:p>
    <w:p w14:paraId="26FF85E9" w14:textId="310B9F17" w:rsidR="002C2609" w:rsidRDefault="002C2609" w:rsidP="002C2609">
      <w:pPr>
        <w:rPr>
          <w:rFonts w:eastAsia="新細明體"/>
          <w:lang w:eastAsia="zh-TW"/>
        </w:rPr>
      </w:pPr>
      <w:bookmarkStart w:id="34" w:name="OLE_LINK13"/>
      <w:r>
        <w:rPr>
          <w:b/>
          <w:bCs/>
          <w:i/>
          <w:iCs/>
        </w:rPr>
        <w:t>Proposal 2: Regarding SEM for IoT-NTN HPUE, if no specific concern, consider relaxing SEM requirements when the existing SEM requirements are more stringent than the PC2, PC1.5 and PC1 ACLR requirements.</w:t>
      </w:r>
      <w:bookmarkEnd w:id="32"/>
    </w:p>
    <w:bookmarkEnd w:id="34"/>
    <w:p w14:paraId="468D6BCE" w14:textId="77777777" w:rsidR="002C2609" w:rsidRDefault="002C2609" w:rsidP="00AF1005">
      <w:pPr>
        <w:rPr>
          <w:b/>
          <w:bCs/>
          <w:i/>
          <w:iCs/>
        </w:rPr>
      </w:pPr>
    </w:p>
    <w:p w14:paraId="7DE8D7EB" w14:textId="1E21EB2F" w:rsidR="002C2609" w:rsidRDefault="002C2609" w:rsidP="002C2609">
      <w:pPr>
        <w:rPr>
          <w:rFonts w:eastAsia="新細明體"/>
          <w:lang w:eastAsia="zh-TW"/>
        </w:rPr>
      </w:pPr>
      <w:bookmarkStart w:id="35" w:name="OLE_LINK48"/>
      <w:r>
        <w:rPr>
          <w:rFonts w:eastAsia="新細明體"/>
          <w:lang w:eastAsia="zh-TW"/>
        </w:rPr>
        <w:t xml:space="preserve">The TX MPR is relevant to ACLR, SEM and modulation EVM requirements. If IoT-NTN PC3 ALCR could be reused for HPUE power class and relaxing SEM would be possible under HPUE operation, we think that reusing NR-NTN PC3 MPR values for PC2 MPR would be one way for consideration. </w:t>
      </w:r>
    </w:p>
    <w:p w14:paraId="274E5DAC" w14:textId="769614A7" w:rsidR="002C2609" w:rsidRDefault="002C2609" w:rsidP="002C2609">
      <w:pPr>
        <w:rPr>
          <w:rFonts w:eastAsia="新細明體"/>
          <w:lang w:eastAsia="zh-TW"/>
        </w:rPr>
      </w:pPr>
      <w:bookmarkStart w:id="36" w:name="OLE_LINK12"/>
      <w:bookmarkEnd w:id="35"/>
      <w:r>
        <w:rPr>
          <w:b/>
          <w:bCs/>
          <w:i/>
          <w:iCs/>
        </w:rPr>
        <w:t xml:space="preserve">Proposal 3: </w:t>
      </w:r>
      <w:bookmarkStart w:id="37" w:name="OLE_LINK7"/>
      <w:r>
        <w:rPr>
          <w:b/>
          <w:bCs/>
          <w:i/>
          <w:iCs/>
        </w:rPr>
        <w:t xml:space="preserve">If IoT-NTN PC3 ACLR value could be reused for IoT-NTN HPUE ACLR and relaxing SEM would be possible under HPUE operation, discuss whether reusing IoT-NTN PC3 MPR values for PC2 MPR would be one possible way.  </w:t>
      </w:r>
      <w:bookmarkEnd w:id="37"/>
    </w:p>
    <w:bookmarkEnd w:id="36"/>
    <w:p w14:paraId="62BB3302" w14:textId="77777777" w:rsidR="00CC7A23" w:rsidRPr="002C2609" w:rsidRDefault="00CC7A23" w:rsidP="00A37FE1">
      <w:pPr>
        <w:rPr>
          <w:lang w:eastAsia="zh-CN"/>
        </w:rPr>
      </w:pPr>
    </w:p>
    <w:p w14:paraId="21EA7BC2" w14:textId="77777777" w:rsidR="00AF1005" w:rsidRPr="00721F3C" w:rsidRDefault="00AF1005" w:rsidP="00A37FE1">
      <w:pPr>
        <w:rPr>
          <w:lang w:eastAsia="zh-CN"/>
        </w:rPr>
      </w:pPr>
    </w:p>
    <w:p w14:paraId="42A0ADCA" w14:textId="77777777" w:rsidR="00571C34" w:rsidRDefault="009D4F96" w:rsidP="009D4F96">
      <w:pPr>
        <w:pStyle w:val="1"/>
        <w:spacing w:before="0" w:after="120"/>
        <w:rPr>
          <w:b/>
          <w:sz w:val="28"/>
          <w:szCs w:val="24"/>
          <w:lang w:eastAsia="zh-CN"/>
        </w:rPr>
      </w:pPr>
      <w:r>
        <w:rPr>
          <w:b/>
          <w:sz w:val="28"/>
          <w:szCs w:val="24"/>
          <w:lang w:eastAsia="zh-CN"/>
        </w:rPr>
        <w:t xml:space="preserve">3 </w:t>
      </w:r>
      <w:r w:rsidR="00571C34">
        <w:rPr>
          <w:rFonts w:hint="eastAsia"/>
          <w:b/>
          <w:sz w:val="28"/>
          <w:szCs w:val="24"/>
          <w:lang w:eastAsia="zh-CN"/>
        </w:rPr>
        <w:t>Conclusion</w:t>
      </w:r>
    </w:p>
    <w:p w14:paraId="293804F6" w14:textId="41053EE4" w:rsidR="00571C34" w:rsidRDefault="00571C34" w:rsidP="00007145">
      <w:pPr>
        <w:rPr>
          <w:lang w:val="en-US" w:eastAsia="zh-CN"/>
        </w:rPr>
      </w:pPr>
      <w:bookmarkStart w:id="38"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our views about HPUE TX RF requirements for NR</w:t>
      </w:r>
      <w:r w:rsidR="00E757FC">
        <w:rPr>
          <w:lang w:val="en-US" w:eastAsia="zh-CN"/>
        </w:rPr>
        <w:t>-</w:t>
      </w:r>
      <w:r w:rsidR="00331C12" w:rsidRPr="00331C12">
        <w:rPr>
          <w:lang w:val="en-US" w:eastAsia="zh-CN"/>
        </w:rPr>
        <w:t>NTN</w:t>
      </w:r>
      <w:r w:rsidR="00331C12">
        <w:rPr>
          <w:lang w:val="en-US" w:eastAsia="zh-CN"/>
        </w:rPr>
        <w:t xml:space="preserve"> UE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p w14:paraId="51321969" w14:textId="77777777" w:rsidR="00DA3609" w:rsidRDefault="00DA3609" w:rsidP="00DA3609">
      <w:pPr>
        <w:rPr>
          <w:b/>
          <w:bCs/>
          <w:i/>
          <w:iCs/>
        </w:rPr>
      </w:pPr>
      <w:bookmarkStart w:id="39" w:name="OLE_LINK325"/>
      <w:bookmarkStart w:id="40" w:name="OLE_LINK167"/>
      <w:bookmarkEnd w:id="38"/>
      <w:r>
        <w:rPr>
          <w:b/>
          <w:bCs/>
          <w:i/>
          <w:iCs/>
        </w:rPr>
        <w:t>Observation 1: Based on R4-2415963[5] NTN-TN coexistence evaluation, the evaluation shows that IoT-NTN ACLR values can be lower than 15dB for PC2 to PC1 HPUE due to sufficient ISD protection.</w:t>
      </w:r>
    </w:p>
    <w:p w14:paraId="5F912CED" w14:textId="40756532" w:rsidR="00EF110C" w:rsidRDefault="00EF110C" w:rsidP="00EF110C">
      <w:pPr>
        <w:rPr>
          <w:b/>
          <w:bCs/>
          <w:i/>
          <w:iCs/>
        </w:rPr>
      </w:pPr>
      <w:bookmarkStart w:id="41" w:name="OLE_LINK32"/>
      <w:r>
        <w:rPr>
          <w:b/>
          <w:bCs/>
          <w:i/>
          <w:iCs/>
        </w:rPr>
        <w:t>Proposal 1: Discuss whether to reuse IoT-NTN PC3 ACLR values for PC2, PC1.5, and PC1 ACLR because the NTN-TN coexistence evaluation [</w:t>
      </w:r>
      <w:r w:rsidR="00B434EB">
        <w:rPr>
          <w:b/>
          <w:bCs/>
          <w:i/>
          <w:iCs/>
        </w:rPr>
        <w:t>5</w:t>
      </w:r>
      <w:r>
        <w:rPr>
          <w:b/>
          <w:bCs/>
          <w:i/>
          <w:iCs/>
        </w:rPr>
        <w:t xml:space="preserve">] shows IoT-NTN ACLR values can be lower than </w:t>
      </w:r>
      <w:r w:rsidR="00796D36">
        <w:rPr>
          <w:b/>
          <w:bCs/>
          <w:i/>
          <w:iCs/>
        </w:rPr>
        <w:t>15</w:t>
      </w:r>
      <w:r>
        <w:rPr>
          <w:b/>
          <w:bCs/>
          <w:i/>
          <w:iCs/>
        </w:rPr>
        <w:t xml:space="preserve">dB for PC2 to PC1 HPUE.  </w:t>
      </w:r>
    </w:p>
    <w:bookmarkEnd w:id="41"/>
    <w:p w14:paraId="65ED1DDE" w14:textId="77777777" w:rsidR="00EF110C" w:rsidRDefault="00EF110C" w:rsidP="00EF110C">
      <w:pPr>
        <w:rPr>
          <w:rFonts w:eastAsia="新細明體"/>
          <w:lang w:eastAsia="zh-TW"/>
        </w:rPr>
      </w:pPr>
    </w:p>
    <w:p w14:paraId="14CDD6D1" w14:textId="77777777" w:rsidR="002C2609" w:rsidRDefault="002C2609" w:rsidP="002C2609">
      <w:pPr>
        <w:rPr>
          <w:rFonts w:eastAsia="新細明體"/>
          <w:lang w:eastAsia="zh-TW"/>
        </w:rPr>
      </w:pPr>
      <w:r>
        <w:rPr>
          <w:b/>
          <w:bCs/>
          <w:i/>
          <w:iCs/>
        </w:rPr>
        <w:t>Proposal 2: Regarding SEM for IoT-NTN HPUE, if no specific concern, consider relaxing SEM requirements when the existing SEM requirements are more stringent than the PC2, PC1.5 and PC1 ACLR requirements.</w:t>
      </w:r>
    </w:p>
    <w:p w14:paraId="162472EF" w14:textId="77777777" w:rsidR="002C2609" w:rsidRDefault="002C2609" w:rsidP="002C2609">
      <w:pPr>
        <w:rPr>
          <w:rFonts w:eastAsia="新細明體"/>
          <w:lang w:eastAsia="zh-TW"/>
        </w:rPr>
      </w:pPr>
      <w:r>
        <w:rPr>
          <w:b/>
          <w:bCs/>
          <w:i/>
          <w:iCs/>
        </w:rPr>
        <w:t xml:space="preserve">Proposal 3: If IoT-NTN PC3 ACLR value could be reused for IoT-NTN HPUE ACLR and relaxing SEM would be possible under HPUE operation, discuss whether reusing IoT-NTN PC3 MPR values for PC2 MPR would be one possible way.  </w:t>
      </w:r>
    </w:p>
    <w:bookmarkEnd w:id="39"/>
    <w:bookmarkEnd w:id="40"/>
    <w:p w14:paraId="1FEF65E7" w14:textId="77777777" w:rsidR="00AF2EDF" w:rsidRPr="00940191" w:rsidRDefault="00AF2EDF" w:rsidP="00007145">
      <w:pPr>
        <w:rPr>
          <w:lang w:eastAsia="zh-CN"/>
        </w:rPr>
      </w:pPr>
    </w:p>
    <w:p w14:paraId="3E25089D" w14:textId="0D3F6C36" w:rsidR="00571C34" w:rsidRDefault="00E17E7A" w:rsidP="00044480">
      <w:pPr>
        <w:pStyle w:val="1"/>
        <w:spacing w:before="0" w:after="120"/>
        <w:ind w:left="420" w:hanging="420"/>
        <w:rPr>
          <w:b/>
          <w:sz w:val="28"/>
          <w:szCs w:val="24"/>
          <w:lang w:eastAsia="zh-CN"/>
        </w:rPr>
      </w:pPr>
      <w:r>
        <w:rPr>
          <w:b/>
          <w:sz w:val="28"/>
          <w:szCs w:val="24"/>
          <w:lang w:eastAsia="zh-CN"/>
        </w:rPr>
        <w:t xml:space="preserve">4 </w:t>
      </w:r>
      <w:r w:rsidR="00571C34">
        <w:rPr>
          <w:rFonts w:hint="eastAsia"/>
          <w:b/>
          <w:sz w:val="28"/>
          <w:szCs w:val="24"/>
          <w:lang w:eastAsia="zh-CN"/>
        </w:rPr>
        <w:t>Reference</w:t>
      </w:r>
    </w:p>
    <w:p w14:paraId="2D21D61F" w14:textId="77777777" w:rsidR="00314A51" w:rsidRDefault="0091354D" w:rsidP="00314A51">
      <w:pPr>
        <w:numPr>
          <w:ilvl w:val="0"/>
          <w:numId w:val="44"/>
        </w:numPr>
        <w:rPr>
          <w:lang w:val="en-US" w:eastAsia="zh-CN"/>
        </w:rPr>
      </w:pPr>
      <w:bookmarkStart w:id="42" w:name="OLE_LINK436"/>
      <w:bookmarkStart w:id="43" w:name="OLE_LINK185"/>
      <w:bookmarkEnd w:id="0"/>
      <w:r>
        <w:rPr>
          <w:lang w:val="en-US" w:eastAsia="zh-CN"/>
        </w:rPr>
        <w:t>RP-2408</w:t>
      </w:r>
      <w:bookmarkEnd w:id="42"/>
      <w:r>
        <w:rPr>
          <w:lang w:val="en-US" w:eastAsia="zh-CN"/>
        </w:rPr>
        <w:t>57</w:t>
      </w:r>
      <w:bookmarkEnd w:id="43"/>
      <w:r>
        <w:rPr>
          <w:lang w:val="en-US" w:eastAsia="zh-CN"/>
        </w:rPr>
        <w:t xml:space="preserve">, </w:t>
      </w:r>
      <w:bookmarkStart w:id="44" w:name="OLE_LINK39"/>
      <w:r>
        <w:rPr>
          <w:lang w:val="en-US" w:eastAsia="zh-CN"/>
        </w:rPr>
        <w:t>“New WID: Enhanced requirements and test methodology for NR and IoT NTN</w:t>
      </w:r>
      <w:bookmarkStart w:id="45" w:name="OLE_LINK69"/>
      <w:r>
        <w:rPr>
          <w:lang w:val="en-US" w:eastAsia="zh-CN"/>
        </w:rPr>
        <w:t>”</w:t>
      </w:r>
      <w:bookmarkEnd w:id="45"/>
      <w:r>
        <w:rPr>
          <w:lang w:val="en-US" w:eastAsia="zh-CN"/>
        </w:rPr>
        <w:t>, Huawei</w:t>
      </w:r>
      <w:bookmarkStart w:id="46" w:name="OLE_LINK235"/>
      <w:bookmarkStart w:id="47" w:name="OLE_LINK242"/>
      <w:bookmarkEnd w:id="44"/>
    </w:p>
    <w:p w14:paraId="76D75419" w14:textId="5ED61D24" w:rsidR="007658D0" w:rsidRPr="002877E8" w:rsidRDefault="0091354D" w:rsidP="00314A51">
      <w:pPr>
        <w:numPr>
          <w:ilvl w:val="0"/>
          <w:numId w:val="44"/>
        </w:numPr>
        <w:rPr>
          <w:rFonts w:eastAsia="新細明體"/>
          <w:lang w:val="en-US" w:eastAsia="zh-TW"/>
        </w:rPr>
      </w:pPr>
      <w:r w:rsidRPr="00314A51">
        <w:rPr>
          <w:rFonts w:eastAsia="新細明體"/>
          <w:lang w:val="en-US" w:eastAsia="zh-TW"/>
        </w:rPr>
        <w:t>TS 3</w:t>
      </w:r>
      <w:r w:rsidR="00900AA8" w:rsidRPr="00314A51">
        <w:rPr>
          <w:rFonts w:eastAsia="新細明體"/>
          <w:lang w:val="en-US" w:eastAsia="zh-TW"/>
        </w:rPr>
        <w:t>6</w:t>
      </w:r>
      <w:r w:rsidRPr="00314A51">
        <w:rPr>
          <w:rFonts w:eastAsia="新細明體"/>
          <w:lang w:val="en-US" w:eastAsia="zh-TW"/>
        </w:rPr>
        <w:t>.101, “</w:t>
      </w:r>
      <w:r w:rsidR="00314A51" w:rsidRPr="00314A51">
        <w:rPr>
          <w:rFonts w:eastAsia="新細明體"/>
          <w:lang w:val="en-US" w:eastAsia="zh-TW"/>
        </w:rPr>
        <w:t>E-UTRA;</w:t>
      </w:r>
      <w:r w:rsidR="00314A51">
        <w:rPr>
          <w:rFonts w:eastAsia="新細明體"/>
          <w:lang w:val="en-US" w:eastAsia="zh-TW"/>
        </w:rPr>
        <w:t xml:space="preserve"> </w:t>
      </w:r>
      <w:r w:rsidR="00314A51" w:rsidRPr="00314A51">
        <w:rPr>
          <w:rFonts w:eastAsia="新細明體"/>
          <w:lang w:val="en-US" w:eastAsia="zh-TW"/>
        </w:rPr>
        <w:t>User Equipment (UE) radio transmission and reception</w:t>
      </w:r>
      <w:r w:rsidR="00314A51" w:rsidRPr="00314A51">
        <w:rPr>
          <w:lang w:val="en-US" w:eastAsia="zh-CN"/>
        </w:rPr>
        <w:t>”</w:t>
      </w:r>
      <w:bookmarkEnd w:id="46"/>
    </w:p>
    <w:p w14:paraId="67734B3B" w14:textId="2C480A52" w:rsidR="002877E8" w:rsidRPr="002877E8" w:rsidRDefault="002877E8" w:rsidP="002877E8">
      <w:pPr>
        <w:numPr>
          <w:ilvl w:val="0"/>
          <w:numId w:val="44"/>
        </w:numPr>
        <w:rPr>
          <w:lang w:val="en-US" w:eastAsia="zh-CN"/>
        </w:rPr>
      </w:pPr>
      <w:r>
        <w:rPr>
          <w:lang w:val="en-US" w:eastAsia="zh-CN"/>
        </w:rPr>
        <w:t>R4-2414452, “WF on UE RF requirements for NTN HPUE”, Samsung</w:t>
      </w:r>
    </w:p>
    <w:p w14:paraId="552DBF66" w14:textId="3214B0F9" w:rsidR="00900AA8" w:rsidRPr="00314A51" w:rsidRDefault="00900AA8" w:rsidP="00314A51">
      <w:pPr>
        <w:numPr>
          <w:ilvl w:val="0"/>
          <w:numId w:val="44"/>
        </w:numPr>
        <w:rPr>
          <w:rFonts w:eastAsia="新細明體"/>
          <w:lang w:val="en-US" w:eastAsia="zh-TW"/>
        </w:rPr>
      </w:pPr>
      <w:r>
        <w:rPr>
          <w:rFonts w:eastAsia="新細明體"/>
          <w:lang w:val="en-US" w:eastAsia="zh-TW"/>
        </w:rPr>
        <w:t>TS 36.102, “</w:t>
      </w:r>
      <w:r w:rsidR="00314A51" w:rsidRPr="00314A51">
        <w:rPr>
          <w:rFonts w:eastAsia="新細明體"/>
          <w:lang w:val="en-US" w:eastAsia="zh-TW"/>
        </w:rPr>
        <w:t>E-UTRA;</w:t>
      </w:r>
      <w:r w:rsidR="00314A51">
        <w:rPr>
          <w:rFonts w:eastAsia="新細明體"/>
          <w:lang w:val="en-US" w:eastAsia="zh-TW"/>
        </w:rPr>
        <w:t xml:space="preserve"> </w:t>
      </w:r>
      <w:r w:rsidR="00314A51" w:rsidRPr="00314A51">
        <w:rPr>
          <w:rFonts w:eastAsia="新細明體"/>
          <w:lang w:val="en-US" w:eastAsia="zh-TW"/>
        </w:rPr>
        <w:t>User Equipment (UE) radio transmission and reception for satellite access</w:t>
      </w:r>
      <w:r w:rsidRPr="00314A51">
        <w:rPr>
          <w:rFonts w:eastAsia="新細明體"/>
          <w:lang w:val="en-US" w:eastAsia="zh-TW"/>
        </w:rPr>
        <w:t>”</w:t>
      </w:r>
    </w:p>
    <w:p w14:paraId="5231E99D" w14:textId="015696C1" w:rsidR="008821F9" w:rsidRPr="00FF236F" w:rsidRDefault="00443A72" w:rsidP="00FF236F">
      <w:pPr>
        <w:numPr>
          <w:ilvl w:val="0"/>
          <w:numId w:val="44"/>
        </w:numPr>
        <w:rPr>
          <w:lang w:val="en-US" w:eastAsia="zh-CN"/>
        </w:rPr>
      </w:pPr>
      <w:bookmarkStart w:id="48" w:name="OLE_LINK52"/>
      <w:bookmarkStart w:id="49" w:name="OLE_LINK236"/>
      <w:bookmarkEnd w:id="47"/>
      <w:r>
        <w:rPr>
          <w:rFonts w:eastAsia="新細明體"/>
          <w:lang w:val="en-US" w:eastAsia="zh-TW"/>
        </w:rPr>
        <w:t>R4-241</w:t>
      </w:r>
      <w:r w:rsidR="00E17E7A">
        <w:rPr>
          <w:rFonts w:eastAsia="新細明體"/>
          <w:lang w:val="en-US" w:eastAsia="zh-TW"/>
        </w:rPr>
        <w:t>5963</w:t>
      </w:r>
      <w:r>
        <w:rPr>
          <w:rFonts w:eastAsia="新細明體"/>
          <w:lang w:val="en-US" w:eastAsia="zh-TW"/>
        </w:rPr>
        <w:t xml:space="preserve">, </w:t>
      </w:r>
      <w:r>
        <w:rPr>
          <w:lang w:val="en-US" w:eastAsia="zh-CN"/>
        </w:rPr>
        <w:t>“</w:t>
      </w:r>
      <w:r w:rsidR="00E17E7A" w:rsidRPr="00E17E7A">
        <w:rPr>
          <w:lang w:val="en-US" w:eastAsia="zh-CN"/>
        </w:rPr>
        <w:t>Simulation for NTN co-existence study</w:t>
      </w:r>
      <w:r>
        <w:rPr>
          <w:lang w:val="en-US" w:eastAsia="zh-CN"/>
        </w:rPr>
        <w:t>”, MediaTek Inc.</w:t>
      </w:r>
      <w:r w:rsidR="00875063">
        <w:rPr>
          <w:lang w:val="en-US" w:eastAsia="zh-CN"/>
        </w:rPr>
        <w:t xml:space="preserve"> </w:t>
      </w:r>
      <w:bookmarkEnd w:id="48"/>
      <w:bookmarkEnd w:id="49"/>
    </w:p>
    <w:sectPr w:rsidR="008821F9" w:rsidRPr="00FF236F" w:rsidSect="008C2779">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ECA35" w14:textId="77777777" w:rsidR="00F9562B" w:rsidRDefault="00F9562B">
      <w:pPr>
        <w:spacing w:after="0"/>
      </w:pPr>
      <w:r>
        <w:separator/>
      </w:r>
    </w:p>
  </w:endnote>
  <w:endnote w:type="continuationSeparator" w:id="0">
    <w:p w14:paraId="176B1020" w14:textId="77777777" w:rsidR="00F9562B" w:rsidRDefault="00F95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4EFD8" w14:textId="77777777" w:rsidR="00F9562B" w:rsidRDefault="00F9562B">
      <w:pPr>
        <w:spacing w:after="0"/>
      </w:pPr>
      <w:r>
        <w:separator/>
      </w:r>
    </w:p>
  </w:footnote>
  <w:footnote w:type="continuationSeparator" w:id="0">
    <w:p w14:paraId="472B5595" w14:textId="77777777" w:rsidR="00F9562B" w:rsidRDefault="00F956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7"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17"/>
  </w:num>
  <w:num w:numId="2" w16cid:durableId="1517383319">
    <w:abstractNumId w:val="0"/>
  </w:num>
  <w:num w:numId="3" w16cid:durableId="1820002407">
    <w:abstractNumId w:val="1"/>
  </w:num>
  <w:num w:numId="4" w16cid:durableId="2041783622">
    <w:abstractNumId w:val="2"/>
  </w:num>
  <w:num w:numId="5" w16cid:durableId="363287783">
    <w:abstractNumId w:val="6"/>
  </w:num>
  <w:num w:numId="6" w16cid:durableId="2048211014">
    <w:abstractNumId w:val="21"/>
  </w:num>
  <w:num w:numId="7" w16cid:durableId="45179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23"/>
  </w:num>
  <w:num w:numId="9" w16cid:durableId="1253778607">
    <w:abstractNumId w:val="30"/>
  </w:num>
  <w:num w:numId="10" w16cid:durableId="199628285">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38"/>
  </w:num>
  <w:num w:numId="12" w16cid:durableId="1998341970">
    <w:abstractNumId w:val="11"/>
  </w:num>
  <w:num w:numId="13" w16cid:durableId="1694191156">
    <w:abstractNumId w:val="34"/>
  </w:num>
  <w:num w:numId="14" w16cid:durableId="1780759960">
    <w:abstractNumId w:val="31"/>
  </w:num>
  <w:num w:numId="15" w16cid:durableId="1051923604">
    <w:abstractNumId w:val="33"/>
  </w:num>
  <w:num w:numId="16" w16cid:durableId="341326312">
    <w:abstractNumId w:val="10"/>
  </w:num>
  <w:num w:numId="17" w16cid:durableId="946235570">
    <w:abstractNumId w:val="5"/>
  </w:num>
  <w:num w:numId="18" w16cid:durableId="1223717110">
    <w:abstractNumId w:val="3"/>
  </w:num>
  <w:num w:numId="19" w16cid:durableId="1833448632">
    <w:abstractNumId w:val="19"/>
  </w:num>
  <w:num w:numId="20" w16cid:durableId="1001153157">
    <w:abstractNumId w:val="14"/>
  </w:num>
  <w:num w:numId="21" w16cid:durableId="1097750180">
    <w:abstractNumId w:val="20"/>
  </w:num>
  <w:num w:numId="22" w16cid:durableId="347413259">
    <w:abstractNumId w:val="13"/>
  </w:num>
  <w:num w:numId="23" w16cid:durableId="674920392">
    <w:abstractNumId w:val="37"/>
  </w:num>
  <w:num w:numId="24" w16cid:durableId="361899089">
    <w:abstractNumId w:val="25"/>
  </w:num>
  <w:num w:numId="25" w16cid:durableId="1709916822">
    <w:abstractNumId w:val="36"/>
  </w:num>
  <w:num w:numId="26" w16cid:durableId="979771374">
    <w:abstractNumId w:val="16"/>
  </w:num>
  <w:num w:numId="27" w16cid:durableId="922449036">
    <w:abstractNumId w:val="18"/>
  </w:num>
  <w:num w:numId="28" w16cid:durableId="1572427741">
    <w:abstractNumId w:val="24"/>
  </w:num>
  <w:num w:numId="29" w16cid:durableId="2010794598">
    <w:abstractNumId w:val="29"/>
  </w:num>
  <w:num w:numId="30" w16cid:durableId="1946575346">
    <w:abstractNumId w:val="9"/>
  </w:num>
  <w:num w:numId="31" w16cid:durableId="1148866988">
    <w:abstractNumId w:val="22"/>
  </w:num>
  <w:num w:numId="32" w16cid:durableId="1763143259">
    <w:abstractNumId w:val="9"/>
  </w:num>
  <w:num w:numId="33" w16cid:durableId="1742606359">
    <w:abstractNumId w:val="12"/>
  </w:num>
  <w:num w:numId="34" w16cid:durableId="1923098752">
    <w:abstractNumId w:val="4"/>
  </w:num>
  <w:num w:numId="35" w16cid:durableId="1864979755">
    <w:abstractNumId w:val="27"/>
  </w:num>
  <w:num w:numId="36" w16cid:durableId="23239283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28"/>
  </w:num>
  <w:num w:numId="38" w16cid:durableId="2000426882">
    <w:abstractNumId w:val="26"/>
  </w:num>
  <w:num w:numId="39" w16cid:durableId="189298317">
    <w:abstractNumId w:val="7"/>
  </w:num>
  <w:num w:numId="40" w16cid:durableId="1300960495">
    <w:abstractNumId w:val="7"/>
  </w:num>
  <w:num w:numId="41" w16cid:durableId="917516009">
    <w:abstractNumId w:val="26"/>
  </w:num>
  <w:num w:numId="42" w16cid:durableId="1558589887">
    <w:abstractNumId w:val="35"/>
  </w:num>
  <w:num w:numId="43" w16cid:durableId="431627132">
    <w:abstractNumId w:val="35"/>
  </w:num>
  <w:num w:numId="44" w16cid:durableId="528026583">
    <w:abstractNumId w:val="2"/>
    <w:lvlOverride w:ilvl="0">
      <w:startOverride w:val="1"/>
    </w:lvlOverride>
  </w:num>
  <w:num w:numId="45" w16cid:durableId="653874051">
    <w:abstractNumId w:val="32"/>
  </w:num>
  <w:num w:numId="46" w16cid:durableId="1760640702">
    <w:abstractNumId w:val="15"/>
  </w:num>
  <w:num w:numId="47" w16cid:durableId="14654640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2418"/>
    <w:rsid w:val="00016B5F"/>
    <w:rsid w:val="0002045F"/>
    <w:rsid w:val="00022E4A"/>
    <w:rsid w:val="00023485"/>
    <w:rsid w:val="00034E3D"/>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7140"/>
    <w:rsid w:val="000803E8"/>
    <w:rsid w:val="000808D8"/>
    <w:rsid w:val="000810E0"/>
    <w:rsid w:val="00081837"/>
    <w:rsid w:val="00090906"/>
    <w:rsid w:val="00091892"/>
    <w:rsid w:val="00094AF4"/>
    <w:rsid w:val="0009750D"/>
    <w:rsid w:val="00097BE0"/>
    <w:rsid w:val="000A090F"/>
    <w:rsid w:val="000A1842"/>
    <w:rsid w:val="000A441C"/>
    <w:rsid w:val="000A5D92"/>
    <w:rsid w:val="000A6394"/>
    <w:rsid w:val="000A7788"/>
    <w:rsid w:val="000B0134"/>
    <w:rsid w:val="000B05C9"/>
    <w:rsid w:val="000B05D5"/>
    <w:rsid w:val="000B286D"/>
    <w:rsid w:val="000B2ED3"/>
    <w:rsid w:val="000B4410"/>
    <w:rsid w:val="000B55EA"/>
    <w:rsid w:val="000C02CF"/>
    <w:rsid w:val="000C038A"/>
    <w:rsid w:val="000C2049"/>
    <w:rsid w:val="000C2D5A"/>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8AC"/>
    <w:rsid w:val="000E512F"/>
    <w:rsid w:val="000E6883"/>
    <w:rsid w:val="000E7950"/>
    <w:rsid w:val="000F1E0D"/>
    <w:rsid w:val="000F22BB"/>
    <w:rsid w:val="000F2AB5"/>
    <w:rsid w:val="000F2FD0"/>
    <w:rsid w:val="000F3A67"/>
    <w:rsid w:val="000F62F7"/>
    <w:rsid w:val="00101C22"/>
    <w:rsid w:val="00103420"/>
    <w:rsid w:val="00106A93"/>
    <w:rsid w:val="00107586"/>
    <w:rsid w:val="001118B4"/>
    <w:rsid w:val="00111D91"/>
    <w:rsid w:val="001130EC"/>
    <w:rsid w:val="001138B3"/>
    <w:rsid w:val="001174FD"/>
    <w:rsid w:val="001200DE"/>
    <w:rsid w:val="001201C4"/>
    <w:rsid w:val="00121AEE"/>
    <w:rsid w:val="001232FB"/>
    <w:rsid w:val="00127CD7"/>
    <w:rsid w:val="00132BF4"/>
    <w:rsid w:val="00133C8D"/>
    <w:rsid w:val="00134136"/>
    <w:rsid w:val="00141D30"/>
    <w:rsid w:val="00143179"/>
    <w:rsid w:val="00144C26"/>
    <w:rsid w:val="00145ACC"/>
    <w:rsid w:val="00145D43"/>
    <w:rsid w:val="001506CE"/>
    <w:rsid w:val="00151C0E"/>
    <w:rsid w:val="00153979"/>
    <w:rsid w:val="0016163E"/>
    <w:rsid w:val="001618D4"/>
    <w:rsid w:val="001620D2"/>
    <w:rsid w:val="00163DD4"/>
    <w:rsid w:val="00166473"/>
    <w:rsid w:val="001667D6"/>
    <w:rsid w:val="001677B3"/>
    <w:rsid w:val="00171ED1"/>
    <w:rsid w:val="00172A27"/>
    <w:rsid w:val="00175B5E"/>
    <w:rsid w:val="00176E53"/>
    <w:rsid w:val="00177C97"/>
    <w:rsid w:val="001857A7"/>
    <w:rsid w:val="00192C46"/>
    <w:rsid w:val="001939E8"/>
    <w:rsid w:val="00195F02"/>
    <w:rsid w:val="00196AFE"/>
    <w:rsid w:val="001A0558"/>
    <w:rsid w:val="001A1103"/>
    <w:rsid w:val="001A4647"/>
    <w:rsid w:val="001A4B00"/>
    <w:rsid w:val="001A7259"/>
    <w:rsid w:val="001A7B60"/>
    <w:rsid w:val="001B3625"/>
    <w:rsid w:val="001B4766"/>
    <w:rsid w:val="001B7A65"/>
    <w:rsid w:val="001B7A9B"/>
    <w:rsid w:val="001B7F11"/>
    <w:rsid w:val="001C08C1"/>
    <w:rsid w:val="001C10A9"/>
    <w:rsid w:val="001C133D"/>
    <w:rsid w:val="001C1347"/>
    <w:rsid w:val="001C284D"/>
    <w:rsid w:val="001C5162"/>
    <w:rsid w:val="001C6845"/>
    <w:rsid w:val="001D0703"/>
    <w:rsid w:val="001D141F"/>
    <w:rsid w:val="001D1EB2"/>
    <w:rsid w:val="001D2B40"/>
    <w:rsid w:val="001D413D"/>
    <w:rsid w:val="001D4F11"/>
    <w:rsid w:val="001D59BA"/>
    <w:rsid w:val="001D64A1"/>
    <w:rsid w:val="001E1B5A"/>
    <w:rsid w:val="001E2974"/>
    <w:rsid w:val="001E2996"/>
    <w:rsid w:val="001E41F3"/>
    <w:rsid w:val="001E5541"/>
    <w:rsid w:val="001E7BD0"/>
    <w:rsid w:val="001F2F15"/>
    <w:rsid w:val="001F30F5"/>
    <w:rsid w:val="001F5ACB"/>
    <w:rsid w:val="001F5D30"/>
    <w:rsid w:val="001F7C30"/>
    <w:rsid w:val="002000E1"/>
    <w:rsid w:val="00200250"/>
    <w:rsid w:val="00201112"/>
    <w:rsid w:val="00201F22"/>
    <w:rsid w:val="00210F73"/>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35C4"/>
    <w:rsid w:val="002860C4"/>
    <w:rsid w:val="002871EF"/>
    <w:rsid w:val="00287458"/>
    <w:rsid w:val="002877E8"/>
    <w:rsid w:val="0029321F"/>
    <w:rsid w:val="00294EB9"/>
    <w:rsid w:val="00295D9F"/>
    <w:rsid w:val="0029717E"/>
    <w:rsid w:val="002A01CC"/>
    <w:rsid w:val="002A2DDF"/>
    <w:rsid w:val="002A35ED"/>
    <w:rsid w:val="002A4969"/>
    <w:rsid w:val="002A6497"/>
    <w:rsid w:val="002A663E"/>
    <w:rsid w:val="002B4921"/>
    <w:rsid w:val="002B5741"/>
    <w:rsid w:val="002B7441"/>
    <w:rsid w:val="002B7893"/>
    <w:rsid w:val="002B7A39"/>
    <w:rsid w:val="002C12C8"/>
    <w:rsid w:val="002C2609"/>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DB9"/>
    <w:rsid w:val="00300A08"/>
    <w:rsid w:val="00301D4A"/>
    <w:rsid w:val="00305409"/>
    <w:rsid w:val="0031026E"/>
    <w:rsid w:val="00311F95"/>
    <w:rsid w:val="00312863"/>
    <w:rsid w:val="00314A51"/>
    <w:rsid w:val="0031632E"/>
    <w:rsid w:val="003175A5"/>
    <w:rsid w:val="0032119C"/>
    <w:rsid w:val="003257F3"/>
    <w:rsid w:val="00327351"/>
    <w:rsid w:val="0032748B"/>
    <w:rsid w:val="00331C12"/>
    <w:rsid w:val="00333122"/>
    <w:rsid w:val="00333439"/>
    <w:rsid w:val="00333F3E"/>
    <w:rsid w:val="00335228"/>
    <w:rsid w:val="003367EE"/>
    <w:rsid w:val="00342CCA"/>
    <w:rsid w:val="00343F87"/>
    <w:rsid w:val="00347710"/>
    <w:rsid w:val="003503E8"/>
    <w:rsid w:val="003505ED"/>
    <w:rsid w:val="003540B7"/>
    <w:rsid w:val="00355BEB"/>
    <w:rsid w:val="00356E63"/>
    <w:rsid w:val="003573FB"/>
    <w:rsid w:val="00357F7A"/>
    <w:rsid w:val="00362B31"/>
    <w:rsid w:val="00362D7E"/>
    <w:rsid w:val="00365064"/>
    <w:rsid w:val="0037188C"/>
    <w:rsid w:val="00373A74"/>
    <w:rsid w:val="00374ADE"/>
    <w:rsid w:val="00375962"/>
    <w:rsid w:val="00380D3B"/>
    <w:rsid w:val="0039239E"/>
    <w:rsid w:val="0039258D"/>
    <w:rsid w:val="00395929"/>
    <w:rsid w:val="00395A85"/>
    <w:rsid w:val="00395B3A"/>
    <w:rsid w:val="003A1119"/>
    <w:rsid w:val="003A1EB7"/>
    <w:rsid w:val="003A21A7"/>
    <w:rsid w:val="003A2EF7"/>
    <w:rsid w:val="003A6E0C"/>
    <w:rsid w:val="003B04E3"/>
    <w:rsid w:val="003B16AB"/>
    <w:rsid w:val="003B16BA"/>
    <w:rsid w:val="003B3EA2"/>
    <w:rsid w:val="003B55D8"/>
    <w:rsid w:val="003C046C"/>
    <w:rsid w:val="003C0C28"/>
    <w:rsid w:val="003C2DB3"/>
    <w:rsid w:val="003C44AB"/>
    <w:rsid w:val="003C492B"/>
    <w:rsid w:val="003C62CC"/>
    <w:rsid w:val="003D155A"/>
    <w:rsid w:val="003D156B"/>
    <w:rsid w:val="003D2DA3"/>
    <w:rsid w:val="003D34D6"/>
    <w:rsid w:val="003D59F7"/>
    <w:rsid w:val="003E05E9"/>
    <w:rsid w:val="003E0DBA"/>
    <w:rsid w:val="003E114A"/>
    <w:rsid w:val="003E1A36"/>
    <w:rsid w:val="003E32AE"/>
    <w:rsid w:val="003E577A"/>
    <w:rsid w:val="003E7F03"/>
    <w:rsid w:val="003E7F84"/>
    <w:rsid w:val="003F1AFD"/>
    <w:rsid w:val="003F5F13"/>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5B48"/>
    <w:rsid w:val="00437FAE"/>
    <w:rsid w:val="00440752"/>
    <w:rsid w:val="004419F6"/>
    <w:rsid w:val="00441E7F"/>
    <w:rsid w:val="00442251"/>
    <w:rsid w:val="00442C33"/>
    <w:rsid w:val="00443A72"/>
    <w:rsid w:val="00444454"/>
    <w:rsid w:val="00445783"/>
    <w:rsid w:val="00447632"/>
    <w:rsid w:val="004508BC"/>
    <w:rsid w:val="004534AB"/>
    <w:rsid w:val="00457600"/>
    <w:rsid w:val="00460EB7"/>
    <w:rsid w:val="00461095"/>
    <w:rsid w:val="004612EC"/>
    <w:rsid w:val="00463B38"/>
    <w:rsid w:val="00463CE2"/>
    <w:rsid w:val="004644C5"/>
    <w:rsid w:val="00464BB0"/>
    <w:rsid w:val="004650AC"/>
    <w:rsid w:val="004674A5"/>
    <w:rsid w:val="00470BCA"/>
    <w:rsid w:val="00471D7F"/>
    <w:rsid w:val="00471D8B"/>
    <w:rsid w:val="004730CC"/>
    <w:rsid w:val="004730D6"/>
    <w:rsid w:val="00473414"/>
    <w:rsid w:val="00480F68"/>
    <w:rsid w:val="00481057"/>
    <w:rsid w:val="00482CB1"/>
    <w:rsid w:val="004857DE"/>
    <w:rsid w:val="004876EA"/>
    <w:rsid w:val="004879A0"/>
    <w:rsid w:val="00487FAD"/>
    <w:rsid w:val="00490692"/>
    <w:rsid w:val="004908AA"/>
    <w:rsid w:val="00493E54"/>
    <w:rsid w:val="00495D30"/>
    <w:rsid w:val="00497AA5"/>
    <w:rsid w:val="00497C3E"/>
    <w:rsid w:val="004A0202"/>
    <w:rsid w:val="004A0EA5"/>
    <w:rsid w:val="004A33AB"/>
    <w:rsid w:val="004A689C"/>
    <w:rsid w:val="004B0D8E"/>
    <w:rsid w:val="004B44B0"/>
    <w:rsid w:val="004B461D"/>
    <w:rsid w:val="004B67DC"/>
    <w:rsid w:val="004B70D3"/>
    <w:rsid w:val="004B75B7"/>
    <w:rsid w:val="004B7D9C"/>
    <w:rsid w:val="004C162E"/>
    <w:rsid w:val="004C2B03"/>
    <w:rsid w:val="004C40FC"/>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4D7B"/>
    <w:rsid w:val="004F5DA7"/>
    <w:rsid w:val="004F6BB0"/>
    <w:rsid w:val="005007D4"/>
    <w:rsid w:val="00500DCA"/>
    <w:rsid w:val="00503C65"/>
    <w:rsid w:val="005110EC"/>
    <w:rsid w:val="00511426"/>
    <w:rsid w:val="00513DED"/>
    <w:rsid w:val="00513F94"/>
    <w:rsid w:val="0051580D"/>
    <w:rsid w:val="00520026"/>
    <w:rsid w:val="00521B72"/>
    <w:rsid w:val="00523CDD"/>
    <w:rsid w:val="00526C76"/>
    <w:rsid w:val="00526E65"/>
    <w:rsid w:val="00530775"/>
    <w:rsid w:val="00533549"/>
    <w:rsid w:val="00534480"/>
    <w:rsid w:val="00536A1A"/>
    <w:rsid w:val="005372C8"/>
    <w:rsid w:val="00537CEC"/>
    <w:rsid w:val="00540214"/>
    <w:rsid w:val="00540AA8"/>
    <w:rsid w:val="00542892"/>
    <w:rsid w:val="00543821"/>
    <w:rsid w:val="00543E3B"/>
    <w:rsid w:val="00544560"/>
    <w:rsid w:val="00545193"/>
    <w:rsid w:val="00550584"/>
    <w:rsid w:val="00551D77"/>
    <w:rsid w:val="00552F03"/>
    <w:rsid w:val="0055361F"/>
    <w:rsid w:val="00553D92"/>
    <w:rsid w:val="00557844"/>
    <w:rsid w:val="00563747"/>
    <w:rsid w:val="00563958"/>
    <w:rsid w:val="00564BCD"/>
    <w:rsid w:val="00564F2B"/>
    <w:rsid w:val="00571C34"/>
    <w:rsid w:val="005737E3"/>
    <w:rsid w:val="00573A9A"/>
    <w:rsid w:val="0057479F"/>
    <w:rsid w:val="00576076"/>
    <w:rsid w:val="00576CE6"/>
    <w:rsid w:val="00580E87"/>
    <w:rsid w:val="00580EAD"/>
    <w:rsid w:val="0058630E"/>
    <w:rsid w:val="00587ECF"/>
    <w:rsid w:val="0059183A"/>
    <w:rsid w:val="00592D74"/>
    <w:rsid w:val="00594F8D"/>
    <w:rsid w:val="005A3B98"/>
    <w:rsid w:val="005A3D57"/>
    <w:rsid w:val="005A5BEC"/>
    <w:rsid w:val="005B12F2"/>
    <w:rsid w:val="005B14AE"/>
    <w:rsid w:val="005B3D70"/>
    <w:rsid w:val="005B41E9"/>
    <w:rsid w:val="005B42EB"/>
    <w:rsid w:val="005B6C37"/>
    <w:rsid w:val="005B74B5"/>
    <w:rsid w:val="005C4BF3"/>
    <w:rsid w:val="005C78BD"/>
    <w:rsid w:val="005D2033"/>
    <w:rsid w:val="005D2D5D"/>
    <w:rsid w:val="005D302D"/>
    <w:rsid w:val="005D55DB"/>
    <w:rsid w:val="005E1061"/>
    <w:rsid w:val="005E2A88"/>
    <w:rsid w:val="005E2C44"/>
    <w:rsid w:val="005E33E9"/>
    <w:rsid w:val="005E642F"/>
    <w:rsid w:val="005E7704"/>
    <w:rsid w:val="005F08A2"/>
    <w:rsid w:val="005F1757"/>
    <w:rsid w:val="005F3402"/>
    <w:rsid w:val="005F4D38"/>
    <w:rsid w:val="005F62B1"/>
    <w:rsid w:val="005F7609"/>
    <w:rsid w:val="00600AAB"/>
    <w:rsid w:val="00601316"/>
    <w:rsid w:val="00601425"/>
    <w:rsid w:val="00601D46"/>
    <w:rsid w:val="00601F80"/>
    <w:rsid w:val="006038D6"/>
    <w:rsid w:val="00605ACD"/>
    <w:rsid w:val="006070C1"/>
    <w:rsid w:val="00610D4F"/>
    <w:rsid w:val="006131A0"/>
    <w:rsid w:val="00620242"/>
    <w:rsid w:val="00621188"/>
    <w:rsid w:val="00623164"/>
    <w:rsid w:val="00624942"/>
    <w:rsid w:val="00625435"/>
    <w:rsid w:val="006257ED"/>
    <w:rsid w:val="00626633"/>
    <w:rsid w:val="00630986"/>
    <w:rsid w:val="00630AB0"/>
    <w:rsid w:val="006317A1"/>
    <w:rsid w:val="00631B59"/>
    <w:rsid w:val="00631D93"/>
    <w:rsid w:val="00635902"/>
    <w:rsid w:val="00635D2D"/>
    <w:rsid w:val="00635F3F"/>
    <w:rsid w:val="006373EA"/>
    <w:rsid w:val="00637C87"/>
    <w:rsid w:val="00641539"/>
    <w:rsid w:val="006425EA"/>
    <w:rsid w:val="0064377D"/>
    <w:rsid w:val="00644BC1"/>
    <w:rsid w:val="006459E2"/>
    <w:rsid w:val="00646C14"/>
    <w:rsid w:val="00650E87"/>
    <w:rsid w:val="00652509"/>
    <w:rsid w:val="00654B8B"/>
    <w:rsid w:val="00654E37"/>
    <w:rsid w:val="00655D6A"/>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C02F2"/>
    <w:rsid w:val="006C071B"/>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3294"/>
    <w:rsid w:val="006F34BF"/>
    <w:rsid w:val="006F4AA5"/>
    <w:rsid w:val="006F64A1"/>
    <w:rsid w:val="006F6557"/>
    <w:rsid w:val="006F6880"/>
    <w:rsid w:val="00700E63"/>
    <w:rsid w:val="00701841"/>
    <w:rsid w:val="00702022"/>
    <w:rsid w:val="007036D1"/>
    <w:rsid w:val="007043FF"/>
    <w:rsid w:val="00705CA2"/>
    <w:rsid w:val="00707D7E"/>
    <w:rsid w:val="00710725"/>
    <w:rsid w:val="0071242D"/>
    <w:rsid w:val="0071711E"/>
    <w:rsid w:val="00717A4C"/>
    <w:rsid w:val="0072015A"/>
    <w:rsid w:val="00721F3C"/>
    <w:rsid w:val="0072409A"/>
    <w:rsid w:val="00724AC8"/>
    <w:rsid w:val="007264F7"/>
    <w:rsid w:val="00732338"/>
    <w:rsid w:val="007333FA"/>
    <w:rsid w:val="00733CCF"/>
    <w:rsid w:val="00735E53"/>
    <w:rsid w:val="007375CD"/>
    <w:rsid w:val="00742A9A"/>
    <w:rsid w:val="00745C77"/>
    <w:rsid w:val="00746ECD"/>
    <w:rsid w:val="00747304"/>
    <w:rsid w:val="0075004C"/>
    <w:rsid w:val="007512F7"/>
    <w:rsid w:val="007531F8"/>
    <w:rsid w:val="0075391A"/>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CED"/>
    <w:rsid w:val="007803C9"/>
    <w:rsid w:val="00780B5E"/>
    <w:rsid w:val="00786F98"/>
    <w:rsid w:val="0079148F"/>
    <w:rsid w:val="00792342"/>
    <w:rsid w:val="00793146"/>
    <w:rsid w:val="00793352"/>
    <w:rsid w:val="00795D4D"/>
    <w:rsid w:val="0079605A"/>
    <w:rsid w:val="007961AC"/>
    <w:rsid w:val="00796735"/>
    <w:rsid w:val="00796D36"/>
    <w:rsid w:val="007A09D9"/>
    <w:rsid w:val="007A4801"/>
    <w:rsid w:val="007A744F"/>
    <w:rsid w:val="007A7819"/>
    <w:rsid w:val="007B1444"/>
    <w:rsid w:val="007B17FD"/>
    <w:rsid w:val="007B1AD2"/>
    <w:rsid w:val="007B512A"/>
    <w:rsid w:val="007B5C9B"/>
    <w:rsid w:val="007B73C5"/>
    <w:rsid w:val="007C0A66"/>
    <w:rsid w:val="007C1E02"/>
    <w:rsid w:val="007C2097"/>
    <w:rsid w:val="007C5841"/>
    <w:rsid w:val="007C6BA7"/>
    <w:rsid w:val="007D55EC"/>
    <w:rsid w:val="007D6A07"/>
    <w:rsid w:val="007E32DA"/>
    <w:rsid w:val="007E3C66"/>
    <w:rsid w:val="007E546B"/>
    <w:rsid w:val="007F2439"/>
    <w:rsid w:val="007F4A87"/>
    <w:rsid w:val="0080111B"/>
    <w:rsid w:val="00803FC5"/>
    <w:rsid w:val="00811F1B"/>
    <w:rsid w:val="00812357"/>
    <w:rsid w:val="00813A9C"/>
    <w:rsid w:val="008152A1"/>
    <w:rsid w:val="00815EC3"/>
    <w:rsid w:val="00817895"/>
    <w:rsid w:val="008223BF"/>
    <w:rsid w:val="00822BBB"/>
    <w:rsid w:val="00825130"/>
    <w:rsid w:val="00825442"/>
    <w:rsid w:val="0082783B"/>
    <w:rsid w:val="008279FA"/>
    <w:rsid w:val="00833728"/>
    <w:rsid w:val="00835025"/>
    <w:rsid w:val="00835925"/>
    <w:rsid w:val="008417CA"/>
    <w:rsid w:val="00844249"/>
    <w:rsid w:val="00844C57"/>
    <w:rsid w:val="00844C79"/>
    <w:rsid w:val="0084502A"/>
    <w:rsid w:val="008462A8"/>
    <w:rsid w:val="00846812"/>
    <w:rsid w:val="00846D8C"/>
    <w:rsid w:val="00850456"/>
    <w:rsid w:val="0085050D"/>
    <w:rsid w:val="008509A9"/>
    <w:rsid w:val="008517EF"/>
    <w:rsid w:val="00851C29"/>
    <w:rsid w:val="00854B6F"/>
    <w:rsid w:val="0085623B"/>
    <w:rsid w:val="00856566"/>
    <w:rsid w:val="0086027D"/>
    <w:rsid w:val="00861FC2"/>
    <w:rsid w:val="008620FD"/>
    <w:rsid w:val="008626E7"/>
    <w:rsid w:val="008632EE"/>
    <w:rsid w:val="00864E24"/>
    <w:rsid w:val="0086691F"/>
    <w:rsid w:val="0086714C"/>
    <w:rsid w:val="0087036F"/>
    <w:rsid w:val="00870EE7"/>
    <w:rsid w:val="0087278D"/>
    <w:rsid w:val="00875063"/>
    <w:rsid w:val="00880B58"/>
    <w:rsid w:val="008821F9"/>
    <w:rsid w:val="00882DDE"/>
    <w:rsid w:val="00890CB1"/>
    <w:rsid w:val="00891260"/>
    <w:rsid w:val="00894CAC"/>
    <w:rsid w:val="00896A6A"/>
    <w:rsid w:val="008A079F"/>
    <w:rsid w:val="008A1A76"/>
    <w:rsid w:val="008A4A53"/>
    <w:rsid w:val="008A606E"/>
    <w:rsid w:val="008A749A"/>
    <w:rsid w:val="008A7A81"/>
    <w:rsid w:val="008B013C"/>
    <w:rsid w:val="008B3652"/>
    <w:rsid w:val="008B3755"/>
    <w:rsid w:val="008B3BCD"/>
    <w:rsid w:val="008B4058"/>
    <w:rsid w:val="008B4E80"/>
    <w:rsid w:val="008B51B8"/>
    <w:rsid w:val="008B7B9C"/>
    <w:rsid w:val="008C1127"/>
    <w:rsid w:val="008C14B8"/>
    <w:rsid w:val="008C2779"/>
    <w:rsid w:val="008C3FD6"/>
    <w:rsid w:val="008C710E"/>
    <w:rsid w:val="008D184B"/>
    <w:rsid w:val="008D2C43"/>
    <w:rsid w:val="008D5FB3"/>
    <w:rsid w:val="008D6E05"/>
    <w:rsid w:val="008D72D1"/>
    <w:rsid w:val="008D7839"/>
    <w:rsid w:val="008D7B60"/>
    <w:rsid w:val="008E4D25"/>
    <w:rsid w:val="008E4E16"/>
    <w:rsid w:val="008E7FAF"/>
    <w:rsid w:val="008F04A3"/>
    <w:rsid w:val="008F2CEE"/>
    <w:rsid w:val="008F3C5C"/>
    <w:rsid w:val="008F3FEB"/>
    <w:rsid w:val="008F5139"/>
    <w:rsid w:val="008F686C"/>
    <w:rsid w:val="008F7C26"/>
    <w:rsid w:val="00900AA8"/>
    <w:rsid w:val="00901314"/>
    <w:rsid w:val="00901631"/>
    <w:rsid w:val="00902B84"/>
    <w:rsid w:val="00910427"/>
    <w:rsid w:val="00911CC2"/>
    <w:rsid w:val="009122BB"/>
    <w:rsid w:val="009126FF"/>
    <w:rsid w:val="0091354D"/>
    <w:rsid w:val="00913ABF"/>
    <w:rsid w:val="00913C60"/>
    <w:rsid w:val="00914FAA"/>
    <w:rsid w:val="009150F1"/>
    <w:rsid w:val="00916A27"/>
    <w:rsid w:val="00916EF6"/>
    <w:rsid w:val="009209A0"/>
    <w:rsid w:val="009251C8"/>
    <w:rsid w:val="009260CE"/>
    <w:rsid w:val="00931227"/>
    <w:rsid w:val="0093180F"/>
    <w:rsid w:val="00931EF6"/>
    <w:rsid w:val="009334BE"/>
    <w:rsid w:val="00934E76"/>
    <w:rsid w:val="00936620"/>
    <w:rsid w:val="00937053"/>
    <w:rsid w:val="00940191"/>
    <w:rsid w:val="009403E6"/>
    <w:rsid w:val="00940E38"/>
    <w:rsid w:val="00941531"/>
    <w:rsid w:val="00944658"/>
    <w:rsid w:val="0094698A"/>
    <w:rsid w:val="00946C91"/>
    <w:rsid w:val="0094733E"/>
    <w:rsid w:val="00947BD0"/>
    <w:rsid w:val="009544A4"/>
    <w:rsid w:val="00954E58"/>
    <w:rsid w:val="009550B1"/>
    <w:rsid w:val="00955509"/>
    <w:rsid w:val="00955649"/>
    <w:rsid w:val="00961B97"/>
    <w:rsid w:val="0096266E"/>
    <w:rsid w:val="00965B8A"/>
    <w:rsid w:val="00966688"/>
    <w:rsid w:val="00966ADC"/>
    <w:rsid w:val="00972555"/>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79D"/>
    <w:rsid w:val="009A6711"/>
    <w:rsid w:val="009B0449"/>
    <w:rsid w:val="009B3BCE"/>
    <w:rsid w:val="009B6356"/>
    <w:rsid w:val="009C0CD0"/>
    <w:rsid w:val="009C1AEB"/>
    <w:rsid w:val="009C1B65"/>
    <w:rsid w:val="009C2853"/>
    <w:rsid w:val="009C3095"/>
    <w:rsid w:val="009C3DED"/>
    <w:rsid w:val="009C5EDF"/>
    <w:rsid w:val="009C7E97"/>
    <w:rsid w:val="009D12B8"/>
    <w:rsid w:val="009D233D"/>
    <w:rsid w:val="009D393A"/>
    <w:rsid w:val="009D39C0"/>
    <w:rsid w:val="009D3CF2"/>
    <w:rsid w:val="009D4CAA"/>
    <w:rsid w:val="009D4F96"/>
    <w:rsid w:val="009D58FB"/>
    <w:rsid w:val="009D5AF4"/>
    <w:rsid w:val="009D61C0"/>
    <w:rsid w:val="009D6795"/>
    <w:rsid w:val="009D6B0F"/>
    <w:rsid w:val="009E0236"/>
    <w:rsid w:val="009E0356"/>
    <w:rsid w:val="009E134E"/>
    <w:rsid w:val="009E2E11"/>
    <w:rsid w:val="009E3297"/>
    <w:rsid w:val="009E34EA"/>
    <w:rsid w:val="009E3EFC"/>
    <w:rsid w:val="009F127D"/>
    <w:rsid w:val="009F14C1"/>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411A"/>
    <w:rsid w:val="00A246B6"/>
    <w:rsid w:val="00A2586B"/>
    <w:rsid w:val="00A273FB"/>
    <w:rsid w:val="00A30078"/>
    <w:rsid w:val="00A35D91"/>
    <w:rsid w:val="00A37167"/>
    <w:rsid w:val="00A37FE1"/>
    <w:rsid w:val="00A40D4F"/>
    <w:rsid w:val="00A4172F"/>
    <w:rsid w:val="00A44092"/>
    <w:rsid w:val="00A44413"/>
    <w:rsid w:val="00A45AC7"/>
    <w:rsid w:val="00A45D84"/>
    <w:rsid w:val="00A47E70"/>
    <w:rsid w:val="00A50225"/>
    <w:rsid w:val="00A5039B"/>
    <w:rsid w:val="00A5121D"/>
    <w:rsid w:val="00A53D11"/>
    <w:rsid w:val="00A53D3E"/>
    <w:rsid w:val="00A550AB"/>
    <w:rsid w:val="00A554B5"/>
    <w:rsid w:val="00A61F1A"/>
    <w:rsid w:val="00A63E82"/>
    <w:rsid w:val="00A64975"/>
    <w:rsid w:val="00A66DA7"/>
    <w:rsid w:val="00A714C4"/>
    <w:rsid w:val="00A715A3"/>
    <w:rsid w:val="00A741C5"/>
    <w:rsid w:val="00A74844"/>
    <w:rsid w:val="00A7671C"/>
    <w:rsid w:val="00A772D9"/>
    <w:rsid w:val="00A80BDE"/>
    <w:rsid w:val="00A82072"/>
    <w:rsid w:val="00A8293D"/>
    <w:rsid w:val="00A84C8C"/>
    <w:rsid w:val="00A868A6"/>
    <w:rsid w:val="00A90492"/>
    <w:rsid w:val="00A90A9E"/>
    <w:rsid w:val="00A91FC8"/>
    <w:rsid w:val="00A92AC3"/>
    <w:rsid w:val="00A93D96"/>
    <w:rsid w:val="00A93FD5"/>
    <w:rsid w:val="00A95611"/>
    <w:rsid w:val="00A97127"/>
    <w:rsid w:val="00AA11DC"/>
    <w:rsid w:val="00AA1FDC"/>
    <w:rsid w:val="00AA5D99"/>
    <w:rsid w:val="00AA6B3C"/>
    <w:rsid w:val="00AA79CC"/>
    <w:rsid w:val="00AB49D4"/>
    <w:rsid w:val="00AB5082"/>
    <w:rsid w:val="00AB6433"/>
    <w:rsid w:val="00AC1CE9"/>
    <w:rsid w:val="00AC37E3"/>
    <w:rsid w:val="00AC3FC0"/>
    <w:rsid w:val="00AC403D"/>
    <w:rsid w:val="00AC4B58"/>
    <w:rsid w:val="00AD1CD8"/>
    <w:rsid w:val="00AD2227"/>
    <w:rsid w:val="00AD251B"/>
    <w:rsid w:val="00AD27AA"/>
    <w:rsid w:val="00AD48E2"/>
    <w:rsid w:val="00AE2919"/>
    <w:rsid w:val="00AE2CED"/>
    <w:rsid w:val="00AE6208"/>
    <w:rsid w:val="00AE6FFB"/>
    <w:rsid w:val="00AF04F2"/>
    <w:rsid w:val="00AF1005"/>
    <w:rsid w:val="00AF1E97"/>
    <w:rsid w:val="00AF2ABC"/>
    <w:rsid w:val="00AF2B6A"/>
    <w:rsid w:val="00AF2EDF"/>
    <w:rsid w:val="00AF321C"/>
    <w:rsid w:val="00AF7A55"/>
    <w:rsid w:val="00B006FC"/>
    <w:rsid w:val="00B0436E"/>
    <w:rsid w:val="00B0583E"/>
    <w:rsid w:val="00B05894"/>
    <w:rsid w:val="00B0589A"/>
    <w:rsid w:val="00B05DB1"/>
    <w:rsid w:val="00B064F0"/>
    <w:rsid w:val="00B06D81"/>
    <w:rsid w:val="00B12050"/>
    <w:rsid w:val="00B12FA4"/>
    <w:rsid w:val="00B1474A"/>
    <w:rsid w:val="00B20A01"/>
    <w:rsid w:val="00B20C1E"/>
    <w:rsid w:val="00B233CF"/>
    <w:rsid w:val="00B2421E"/>
    <w:rsid w:val="00B2580A"/>
    <w:rsid w:val="00B258BB"/>
    <w:rsid w:val="00B25C53"/>
    <w:rsid w:val="00B310B7"/>
    <w:rsid w:val="00B33E33"/>
    <w:rsid w:val="00B343D2"/>
    <w:rsid w:val="00B343E7"/>
    <w:rsid w:val="00B36283"/>
    <w:rsid w:val="00B3669B"/>
    <w:rsid w:val="00B375F0"/>
    <w:rsid w:val="00B434EB"/>
    <w:rsid w:val="00B45F41"/>
    <w:rsid w:val="00B4687B"/>
    <w:rsid w:val="00B4733F"/>
    <w:rsid w:val="00B47E3C"/>
    <w:rsid w:val="00B50CEC"/>
    <w:rsid w:val="00B530BE"/>
    <w:rsid w:val="00B5311C"/>
    <w:rsid w:val="00B544FF"/>
    <w:rsid w:val="00B566B9"/>
    <w:rsid w:val="00B56C11"/>
    <w:rsid w:val="00B5768C"/>
    <w:rsid w:val="00B57A0B"/>
    <w:rsid w:val="00B60A01"/>
    <w:rsid w:val="00B60A0B"/>
    <w:rsid w:val="00B63D6E"/>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06D"/>
    <w:rsid w:val="00BA5792"/>
    <w:rsid w:val="00BB1222"/>
    <w:rsid w:val="00BB178D"/>
    <w:rsid w:val="00BB2A6C"/>
    <w:rsid w:val="00BB31BA"/>
    <w:rsid w:val="00BB4ACA"/>
    <w:rsid w:val="00BB5DFC"/>
    <w:rsid w:val="00BB69C2"/>
    <w:rsid w:val="00BC0D95"/>
    <w:rsid w:val="00BC44A9"/>
    <w:rsid w:val="00BC544B"/>
    <w:rsid w:val="00BC5C2A"/>
    <w:rsid w:val="00BC7B51"/>
    <w:rsid w:val="00BD1027"/>
    <w:rsid w:val="00BD1F83"/>
    <w:rsid w:val="00BD279D"/>
    <w:rsid w:val="00BD3AE4"/>
    <w:rsid w:val="00BD4D97"/>
    <w:rsid w:val="00BD6BB8"/>
    <w:rsid w:val="00BD7192"/>
    <w:rsid w:val="00BE0355"/>
    <w:rsid w:val="00BE2D2D"/>
    <w:rsid w:val="00BE2F9A"/>
    <w:rsid w:val="00BE36C9"/>
    <w:rsid w:val="00BE551F"/>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212E2"/>
    <w:rsid w:val="00C23ED1"/>
    <w:rsid w:val="00C30021"/>
    <w:rsid w:val="00C32C1A"/>
    <w:rsid w:val="00C36FBD"/>
    <w:rsid w:val="00C40813"/>
    <w:rsid w:val="00C435B4"/>
    <w:rsid w:val="00C475A4"/>
    <w:rsid w:val="00C50256"/>
    <w:rsid w:val="00C5044B"/>
    <w:rsid w:val="00C50636"/>
    <w:rsid w:val="00C51098"/>
    <w:rsid w:val="00C5282A"/>
    <w:rsid w:val="00C54E55"/>
    <w:rsid w:val="00C569D0"/>
    <w:rsid w:val="00C57058"/>
    <w:rsid w:val="00C579E7"/>
    <w:rsid w:val="00C57BA9"/>
    <w:rsid w:val="00C57C90"/>
    <w:rsid w:val="00C64E3B"/>
    <w:rsid w:val="00C65645"/>
    <w:rsid w:val="00C717F1"/>
    <w:rsid w:val="00C719F7"/>
    <w:rsid w:val="00C720C9"/>
    <w:rsid w:val="00C72915"/>
    <w:rsid w:val="00C733A6"/>
    <w:rsid w:val="00C75062"/>
    <w:rsid w:val="00C80787"/>
    <w:rsid w:val="00C8564B"/>
    <w:rsid w:val="00C8610D"/>
    <w:rsid w:val="00C9214E"/>
    <w:rsid w:val="00C92DA6"/>
    <w:rsid w:val="00C95953"/>
    <w:rsid w:val="00C95985"/>
    <w:rsid w:val="00CA1AE3"/>
    <w:rsid w:val="00CA31D4"/>
    <w:rsid w:val="00CB3FFF"/>
    <w:rsid w:val="00CB5089"/>
    <w:rsid w:val="00CB6322"/>
    <w:rsid w:val="00CC0A12"/>
    <w:rsid w:val="00CC0E3A"/>
    <w:rsid w:val="00CC34A0"/>
    <w:rsid w:val="00CC4E42"/>
    <w:rsid w:val="00CC5026"/>
    <w:rsid w:val="00CC5576"/>
    <w:rsid w:val="00CC7A23"/>
    <w:rsid w:val="00CD156E"/>
    <w:rsid w:val="00CD20E0"/>
    <w:rsid w:val="00CD2C94"/>
    <w:rsid w:val="00CD2F68"/>
    <w:rsid w:val="00CE0D28"/>
    <w:rsid w:val="00CE26E8"/>
    <w:rsid w:val="00CE3979"/>
    <w:rsid w:val="00CE47C2"/>
    <w:rsid w:val="00CE52AB"/>
    <w:rsid w:val="00CE5F35"/>
    <w:rsid w:val="00CE709D"/>
    <w:rsid w:val="00CE716E"/>
    <w:rsid w:val="00CF0358"/>
    <w:rsid w:val="00CF647D"/>
    <w:rsid w:val="00CF79B5"/>
    <w:rsid w:val="00CF7E2C"/>
    <w:rsid w:val="00D001D9"/>
    <w:rsid w:val="00D011AD"/>
    <w:rsid w:val="00D01208"/>
    <w:rsid w:val="00D03F9A"/>
    <w:rsid w:val="00D0497A"/>
    <w:rsid w:val="00D05BF5"/>
    <w:rsid w:val="00D10090"/>
    <w:rsid w:val="00D10AB0"/>
    <w:rsid w:val="00D12694"/>
    <w:rsid w:val="00D13EF6"/>
    <w:rsid w:val="00D15B8B"/>
    <w:rsid w:val="00D2091E"/>
    <w:rsid w:val="00D22F09"/>
    <w:rsid w:val="00D2590D"/>
    <w:rsid w:val="00D266F5"/>
    <w:rsid w:val="00D275DD"/>
    <w:rsid w:val="00D30B81"/>
    <w:rsid w:val="00D32A5D"/>
    <w:rsid w:val="00D34CDF"/>
    <w:rsid w:val="00D35B6D"/>
    <w:rsid w:val="00D3760F"/>
    <w:rsid w:val="00D402EC"/>
    <w:rsid w:val="00D44816"/>
    <w:rsid w:val="00D4558C"/>
    <w:rsid w:val="00D46EC6"/>
    <w:rsid w:val="00D47277"/>
    <w:rsid w:val="00D50632"/>
    <w:rsid w:val="00D50D28"/>
    <w:rsid w:val="00D51FF6"/>
    <w:rsid w:val="00D54DB2"/>
    <w:rsid w:val="00D55512"/>
    <w:rsid w:val="00D70057"/>
    <w:rsid w:val="00D7376C"/>
    <w:rsid w:val="00D767CC"/>
    <w:rsid w:val="00D8274D"/>
    <w:rsid w:val="00D83419"/>
    <w:rsid w:val="00D8373D"/>
    <w:rsid w:val="00D83792"/>
    <w:rsid w:val="00D84B90"/>
    <w:rsid w:val="00D90AFB"/>
    <w:rsid w:val="00D94B21"/>
    <w:rsid w:val="00D95A61"/>
    <w:rsid w:val="00D96F27"/>
    <w:rsid w:val="00DA1C8E"/>
    <w:rsid w:val="00DA3609"/>
    <w:rsid w:val="00DA50DB"/>
    <w:rsid w:val="00DA567A"/>
    <w:rsid w:val="00DA598F"/>
    <w:rsid w:val="00DA5F9D"/>
    <w:rsid w:val="00DA69B6"/>
    <w:rsid w:val="00DB19A2"/>
    <w:rsid w:val="00DB1D46"/>
    <w:rsid w:val="00DB7E89"/>
    <w:rsid w:val="00DC34C5"/>
    <w:rsid w:val="00DC35DB"/>
    <w:rsid w:val="00DC4084"/>
    <w:rsid w:val="00DC6BC2"/>
    <w:rsid w:val="00DC6BC9"/>
    <w:rsid w:val="00DC7AD4"/>
    <w:rsid w:val="00DD06F5"/>
    <w:rsid w:val="00DD0D15"/>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6CA"/>
    <w:rsid w:val="00E15076"/>
    <w:rsid w:val="00E1632F"/>
    <w:rsid w:val="00E17E7A"/>
    <w:rsid w:val="00E211F5"/>
    <w:rsid w:val="00E244B6"/>
    <w:rsid w:val="00E2642E"/>
    <w:rsid w:val="00E31184"/>
    <w:rsid w:val="00E31374"/>
    <w:rsid w:val="00E316BF"/>
    <w:rsid w:val="00E32F39"/>
    <w:rsid w:val="00E37584"/>
    <w:rsid w:val="00E37F2C"/>
    <w:rsid w:val="00E4166D"/>
    <w:rsid w:val="00E4300F"/>
    <w:rsid w:val="00E467AF"/>
    <w:rsid w:val="00E469F0"/>
    <w:rsid w:val="00E4712F"/>
    <w:rsid w:val="00E47C93"/>
    <w:rsid w:val="00E51327"/>
    <w:rsid w:val="00E5191A"/>
    <w:rsid w:val="00E533C0"/>
    <w:rsid w:val="00E5507B"/>
    <w:rsid w:val="00E60217"/>
    <w:rsid w:val="00E60588"/>
    <w:rsid w:val="00E61B14"/>
    <w:rsid w:val="00E649EB"/>
    <w:rsid w:val="00E65410"/>
    <w:rsid w:val="00E65735"/>
    <w:rsid w:val="00E67399"/>
    <w:rsid w:val="00E710A7"/>
    <w:rsid w:val="00E715C5"/>
    <w:rsid w:val="00E71C53"/>
    <w:rsid w:val="00E720FB"/>
    <w:rsid w:val="00E755BC"/>
    <w:rsid w:val="00E757FC"/>
    <w:rsid w:val="00E76801"/>
    <w:rsid w:val="00E7737B"/>
    <w:rsid w:val="00E77F92"/>
    <w:rsid w:val="00E85C17"/>
    <w:rsid w:val="00E91B2D"/>
    <w:rsid w:val="00E91EAC"/>
    <w:rsid w:val="00E9399D"/>
    <w:rsid w:val="00E9548D"/>
    <w:rsid w:val="00E9727E"/>
    <w:rsid w:val="00EA107B"/>
    <w:rsid w:val="00EA2B67"/>
    <w:rsid w:val="00EA5245"/>
    <w:rsid w:val="00EB3439"/>
    <w:rsid w:val="00EB61E2"/>
    <w:rsid w:val="00EC3A32"/>
    <w:rsid w:val="00EC58D7"/>
    <w:rsid w:val="00EC6167"/>
    <w:rsid w:val="00EC70E8"/>
    <w:rsid w:val="00EC73B2"/>
    <w:rsid w:val="00EC7FB6"/>
    <w:rsid w:val="00ED0FD4"/>
    <w:rsid w:val="00ED3A58"/>
    <w:rsid w:val="00ED788C"/>
    <w:rsid w:val="00EE4266"/>
    <w:rsid w:val="00EE6F6F"/>
    <w:rsid w:val="00EE752A"/>
    <w:rsid w:val="00EE79C6"/>
    <w:rsid w:val="00EE7D7C"/>
    <w:rsid w:val="00EF02E8"/>
    <w:rsid w:val="00EF110C"/>
    <w:rsid w:val="00EF1578"/>
    <w:rsid w:val="00EF1DAF"/>
    <w:rsid w:val="00EF23BB"/>
    <w:rsid w:val="00EF41BC"/>
    <w:rsid w:val="00EF5216"/>
    <w:rsid w:val="00EF6B29"/>
    <w:rsid w:val="00EF739E"/>
    <w:rsid w:val="00EF77CD"/>
    <w:rsid w:val="00F00D40"/>
    <w:rsid w:val="00F04262"/>
    <w:rsid w:val="00F070F6"/>
    <w:rsid w:val="00F07EDA"/>
    <w:rsid w:val="00F07F39"/>
    <w:rsid w:val="00F11CA8"/>
    <w:rsid w:val="00F1583E"/>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526AF"/>
    <w:rsid w:val="00F52CBA"/>
    <w:rsid w:val="00F52EC7"/>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5561"/>
    <w:rsid w:val="00F756F3"/>
    <w:rsid w:val="00F80B8A"/>
    <w:rsid w:val="00F827DD"/>
    <w:rsid w:val="00F85442"/>
    <w:rsid w:val="00F86057"/>
    <w:rsid w:val="00F862B6"/>
    <w:rsid w:val="00F9562B"/>
    <w:rsid w:val="00F95ABD"/>
    <w:rsid w:val="00F95F36"/>
    <w:rsid w:val="00FA1823"/>
    <w:rsid w:val="00FA324B"/>
    <w:rsid w:val="00FA4B01"/>
    <w:rsid w:val="00FA6718"/>
    <w:rsid w:val="00FB10F2"/>
    <w:rsid w:val="00FB198F"/>
    <w:rsid w:val="00FB6386"/>
    <w:rsid w:val="00FB7958"/>
    <w:rsid w:val="00FB7A82"/>
    <w:rsid w:val="00FC127B"/>
    <w:rsid w:val="00FC3AB3"/>
    <w:rsid w:val="00FC5756"/>
    <w:rsid w:val="00FC69EE"/>
    <w:rsid w:val="00FC7416"/>
    <w:rsid w:val="00FD0042"/>
    <w:rsid w:val="00FD0DAF"/>
    <w:rsid w:val="00FD1699"/>
    <w:rsid w:val="00FD1A64"/>
    <w:rsid w:val="00FD1D43"/>
    <w:rsid w:val="00FD239F"/>
    <w:rsid w:val="00FD29D7"/>
    <w:rsid w:val="00FD43B3"/>
    <w:rsid w:val="00FD4DBE"/>
    <w:rsid w:val="00FE006E"/>
    <w:rsid w:val="00FE02AC"/>
    <w:rsid w:val="00FE0ACB"/>
    <w:rsid w:val="00FE451E"/>
    <w:rsid w:val="00FE4FDE"/>
    <w:rsid w:val="00FE5ADB"/>
    <w:rsid w:val="00FE5D17"/>
    <w:rsid w:val="00FE6622"/>
    <w:rsid w:val="00FE6AF2"/>
    <w:rsid w:val="00FF0B13"/>
    <w:rsid w:val="00FF1238"/>
    <w:rsid w:val="00FF236F"/>
    <w:rsid w:val="00FF2463"/>
    <w:rsid w:val="00FF260A"/>
    <w:rsid w:val="00FF30D9"/>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b">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2267383">
      <w:bodyDiv w:val="1"/>
      <w:marLeft w:val="0"/>
      <w:marRight w:val="0"/>
      <w:marTop w:val="0"/>
      <w:marBottom w:val="0"/>
      <w:divBdr>
        <w:top w:val="none" w:sz="0" w:space="0" w:color="auto"/>
        <w:left w:val="none" w:sz="0" w:space="0" w:color="auto"/>
        <w:bottom w:val="none" w:sz="0" w:space="0" w:color="auto"/>
        <w:right w:val="none" w:sz="0" w:space="0" w:color="auto"/>
      </w:divBdr>
    </w:div>
    <w:div w:id="59644067">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83571200">
      <w:bodyDiv w:val="1"/>
      <w:marLeft w:val="0"/>
      <w:marRight w:val="0"/>
      <w:marTop w:val="0"/>
      <w:marBottom w:val="0"/>
      <w:divBdr>
        <w:top w:val="none" w:sz="0" w:space="0" w:color="auto"/>
        <w:left w:val="none" w:sz="0" w:space="0" w:color="auto"/>
        <w:bottom w:val="none" w:sz="0" w:space="0" w:color="auto"/>
        <w:right w:val="none" w:sz="0" w:space="0" w:color="auto"/>
      </w:divBdr>
    </w:div>
    <w:div w:id="137188628">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1234715">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0329292">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8424420">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5611904">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7641977">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23929946">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61267031">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50071170">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2388013">
      <w:bodyDiv w:val="1"/>
      <w:marLeft w:val="0"/>
      <w:marRight w:val="0"/>
      <w:marTop w:val="0"/>
      <w:marBottom w:val="0"/>
      <w:divBdr>
        <w:top w:val="none" w:sz="0" w:space="0" w:color="auto"/>
        <w:left w:val="none" w:sz="0" w:space="0" w:color="auto"/>
        <w:bottom w:val="none" w:sz="0" w:space="0" w:color="auto"/>
        <w:right w:val="none" w:sz="0" w:space="0" w:color="auto"/>
      </w:divBdr>
    </w:div>
    <w:div w:id="1023481573">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19255561">
      <w:bodyDiv w:val="1"/>
      <w:marLeft w:val="0"/>
      <w:marRight w:val="0"/>
      <w:marTop w:val="0"/>
      <w:marBottom w:val="0"/>
      <w:divBdr>
        <w:top w:val="none" w:sz="0" w:space="0" w:color="auto"/>
        <w:left w:val="none" w:sz="0" w:space="0" w:color="auto"/>
        <w:bottom w:val="none" w:sz="0" w:space="0" w:color="auto"/>
        <w:right w:val="none" w:sz="0" w:space="0" w:color="auto"/>
      </w:divBdr>
    </w:div>
    <w:div w:id="1131051213">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63399567">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12185515">
      <w:bodyDiv w:val="1"/>
      <w:marLeft w:val="0"/>
      <w:marRight w:val="0"/>
      <w:marTop w:val="0"/>
      <w:marBottom w:val="0"/>
      <w:divBdr>
        <w:top w:val="none" w:sz="0" w:space="0" w:color="auto"/>
        <w:left w:val="none" w:sz="0" w:space="0" w:color="auto"/>
        <w:bottom w:val="none" w:sz="0" w:space="0" w:color="auto"/>
        <w:right w:val="none" w:sz="0" w:space="0" w:color="auto"/>
      </w:divBdr>
    </w:div>
    <w:div w:id="1220559699">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3416478">
      <w:bodyDiv w:val="1"/>
      <w:marLeft w:val="0"/>
      <w:marRight w:val="0"/>
      <w:marTop w:val="0"/>
      <w:marBottom w:val="0"/>
      <w:divBdr>
        <w:top w:val="none" w:sz="0" w:space="0" w:color="auto"/>
        <w:left w:val="none" w:sz="0" w:space="0" w:color="auto"/>
        <w:bottom w:val="none" w:sz="0" w:space="0" w:color="auto"/>
        <w:right w:val="none" w:sz="0" w:space="0" w:color="auto"/>
      </w:divBdr>
    </w:div>
    <w:div w:id="127678727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5255872">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4139503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3964142">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4691252">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11522637">
      <w:bodyDiv w:val="1"/>
      <w:marLeft w:val="0"/>
      <w:marRight w:val="0"/>
      <w:marTop w:val="0"/>
      <w:marBottom w:val="0"/>
      <w:divBdr>
        <w:top w:val="none" w:sz="0" w:space="0" w:color="auto"/>
        <w:left w:val="none" w:sz="0" w:space="0" w:color="auto"/>
        <w:bottom w:val="none" w:sz="0" w:space="0" w:color="auto"/>
        <w:right w:val="none" w:sz="0" w:space="0" w:color="auto"/>
      </w:divBdr>
    </w:div>
    <w:div w:id="1526754158">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335041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0430814">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2075339">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2294897">
      <w:bodyDiv w:val="1"/>
      <w:marLeft w:val="0"/>
      <w:marRight w:val="0"/>
      <w:marTop w:val="0"/>
      <w:marBottom w:val="0"/>
      <w:divBdr>
        <w:top w:val="none" w:sz="0" w:space="0" w:color="auto"/>
        <w:left w:val="none" w:sz="0" w:space="0" w:color="auto"/>
        <w:bottom w:val="none" w:sz="0" w:space="0" w:color="auto"/>
        <w:right w:val="none" w:sz="0" w:space="0" w:color="auto"/>
      </w:divBdr>
    </w:div>
    <w:div w:id="2036734322">
      <w:bodyDiv w:val="1"/>
      <w:marLeft w:val="0"/>
      <w:marRight w:val="0"/>
      <w:marTop w:val="0"/>
      <w:marBottom w:val="0"/>
      <w:divBdr>
        <w:top w:val="none" w:sz="0" w:space="0" w:color="auto"/>
        <w:left w:val="none" w:sz="0" w:space="0" w:color="auto"/>
        <w:bottom w:val="none" w:sz="0" w:space="0" w:color="auto"/>
        <w:right w:val="none" w:sz="0" w:space="0" w:color="auto"/>
      </w:divBdr>
    </w:div>
    <w:div w:id="2037582740">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3381977">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239</TotalTime>
  <Pages>5</Pages>
  <Words>1339</Words>
  <Characters>7638</Characters>
  <Application>Microsoft Office Word</Application>
  <DocSecurity>0</DocSecurity>
  <Lines>63</Lines>
  <Paragraphs>17</Paragraphs>
  <ScaleCrop>false</ScaleCrop>
  <Company>MTK</Company>
  <LinksUpToDate>false</LinksUpToDate>
  <CharactersWithSpaces>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36</cp:revision>
  <dcterms:created xsi:type="dcterms:W3CDTF">2024-10-01T03:17:00Z</dcterms:created>
  <dcterms:modified xsi:type="dcterms:W3CDTF">2024-10-07T06:42:00Z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